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19A22" w14:textId="77777777" w:rsidR="00065068" w:rsidRDefault="00065068"/>
    <w:p w14:paraId="71EE6F6B" w14:textId="77777777" w:rsidR="007341E4" w:rsidRPr="00157840" w:rsidRDefault="007341E4" w:rsidP="007341E4">
      <w:pPr>
        <w:jc w:val="center"/>
        <w:rPr>
          <w:rFonts w:ascii="Calibri" w:hAnsi="Calibri" w:cs="Calibri"/>
          <w:b/>
          <w:bCs/>
          <w:color w:val="002060"/>
          <w:sz w:val="44"/>
          <w:szCs w:val="44"/>
        </w:rPr>
      </w:pPr>
      <w:r w:rsidRPr="00157840">
        <w:rPr>
          <w:rFonts w:ascii="Calibri" w:hAnsi="Calibri" w:cs="Calibri"/>
          <w:b/>
          <w:bCs/>
          <w:color w:val="002060"/>
          <w:sz w:val="44"/>
          <w:szCs w:val="44"/>
        </w:rPr>
        <w:t>Assemblea Nazionale ICOM Italia 2025</w:t>
      </w:r>
    </w:p>
    <w:p w14:paraId="0D824009" w14:textId="77777777" w:rsidR="007341E4" w:rsidRPr="00157840" w:rsidRDefault="007341E4" w:rsidP="007341E4">
      <w:pPr>
        <w:spacing w:after="0"/>
        <w:jc w:val="center"/>
        <w:rPr>
          <w:rFonts w:ascii="Calibri" w:hAnsi="Calibri" w:cs="Calibri"/>
          <w:b/>
          <w:bCs/>
          <w:color w:val="50637D" w:themeColor="text2" w:themeTint="E6"/>
          <w:sz w:val="28"/>
          <w:szCs w:val="28"/>
        </w:rPr>
      </w:pPr>
      <w:r w:rsidRPr="00157840">
        <w:rPr>
          <w:rFonts w:ascii="Calibri" w:hAnsi="Calibri" w:cs="Calibri"/>
          <w:b/>
          <w:bCs/>
          <w:color w:val="50637D" w:themeColor="text2" w:themeTint="E6"/>
          <w:sz w:val="28"/>
          <w:szCs w:val="28"/>
        </w:rPr>
        <w:t>Musei e innovazione sociale</w:t>
      </w:r>
    </w:p>
    <w:p w14:paraId="58DF61A6" w14:textId="77777777" w:rsidR="007341E4" w:rsidRPr="00157840" w:rsidRDefault="007341E4" w:rsidP="007341E4">
      <w:pPr>
        <w:spacing w:after="0"/>
        <w:jc w:val="center"/>
        <w:rPr>
          <w:rFonts w:ascii="Calibri" w:hAnsi="Calibri" w:cs="Calibri"/>
          <w:b/>
          <w:bCs/>
          <w:iCs/>
          <w:color w:val="50637D" w:themeColor="text2" w:themeTint="E6"/>
          <w:sz w:val="28"/>
          <w:szCs w:val="28"/>
        </w:rPr>
      </w:pPr>
      <w:r w:rsidRPr="00157840">
        <w:rPr>
          <w:rFonts w:ascii="Calibri" w:hAnsi="Calibri" w:cs="Calibri"/>
          <w:b/>
          <w:bCs/>
          <w:color w:val="50637D" w:themeColor="text2" w:themeTint="E6"/>
          <w:sz w:val="28"/>
          <w:szCs w:val="28"/>
        </w:rPr>
        <w:t xml:space="preserve">Misurazione degli impatti e bilancio di sostenibilità come strumenti di sviluppo e di </w:t>
      </w:r>
      <w:r w:rsidRPr="00157840">
        <w:rPr>
          <w:rFonts w:ascii="Calibri" w:hAnsi="Calibri" w:cs="Calibri"/>
          <w:b/>
          <w:bCs/>
          <w:iCs/>
          <w:color w:val="50637D" w:themeColor="text2" w:themeTint="E6"/>
          <w:sz w:val="28"/>
          <w:szCs w:val="28"/>
        </w:rPr>
        <w:t>alleanza con le comunità e nei territori</w:t>
      </w:r>
    </w:p>
    <w:p w14:paraId="0CB208FB" w14:textId="77777777" w:rsidR="007341E4" w:rsidRPr="00157840" w:rsidRDefault="007341E4" w:rsidP="007341E4">
      <w:pPr>
        <w:spacing w:after="0"/>
        <w:jc w:val="center"/>
        <w:rPr>
          <w:rFonts w:ascii="Calibri" w:hAnsi="Calibri" w:cs="Calibri"/>
          <w:b/>
          <w:bCs/>
          <w:color w:val="50637D" w:themeColor="text2" w:themeTint="E6"/>
          <w:sz w:val="28"/>
          <w:szCs w:val="28"/>
        </w:rPr>
      </w:pPr>
    </w:p>
    <w:p w14:paraId="250F3956" w14:textId="686DB9CC" w:rsidR="007341E4" w:rsidRPr="00157840" w:rsidRDefault="007341E4" w:rsidP="007341E4">
      <w:pPr>
        <w:spacing w:after="0"/>
        <w:jc w:val="center"/>
        <w:rPr>
          <w:rFonts w:ascii="Calibri" w:hAnsi="Calibri" w:cs="Calibri"/>
          <w:b/>
          <w:bCs/>
          <w:color w:val="50637D" w:themeColor="text2" w:themeTint="E6"/>
          <w:sz w:val="28"/>
          <w:szCs w:val="28"/>
        </w:rPr>
      </w:pPr>
      <w:r w:rsidRPr="00157840">
        <w:rPr>
          <w:rFonts w:ascii="Calibri" w:hAnsi="Calibri" w:cs="Calibri"/>
          <w:b/>
          <w:bCs/>
          <w:color w:val="50637D" w:themeColor="text2" w:themeTint="E6"/>
          <w:sz w:val="28"/>
          <w:szCs w:val="28"/>
        </w:rPr>
        <w:t xml:space="preserve"> Museo di Santa Giulia</w:t>
      </w:r>
      <w:r w:rsidR="0057721B">
        <w:rPr>
          <w:rFonts w:ascii="Calibri" w:hAnsi="Calibri" w:cs="Calibri"/>
          <w:b/>
          <w:bCs/>
          <w:color w:val="50637D" w:themeColor="text2" w:themeTint="E6"/>
          <w:sz w:val="28"/>
          <w:szCs w:val="28"/>
        </w:rPr>
        <w:t>, Brescia</w:t>
      </w:r>
    </w:p>
    <w:p w14:paraId="54175BE7" w14:textId="77777777" w:rsidR="007341E4" w:rsidRPr="00157840" w:rsidRDefault="007341E4" w:rsidP="007341E4">
      <w:pPr>
        <w:spacing w:after="0"/>
        <w:jc w:val="center"/>
        <w:rPr>
          <w:rFonts w:ascii="Calibri" w:hAnsi="Calibri" w:cs="Calibri"/>
          <w:b/>
          <w:bCs/>
          <w:color w:val="50637D" w:themeColor="text2" w:themeTint="E6"/>
          <w:sz w:val="28"/>
          <w:szCs w:val="28"/>
        </w:rPr>
      </w:pPr>
      <w:r w:rsidRPr="00157840">
        <w:rPr>
          <w:rFonts w:ascii="Calibri" w:hAnsi="Calibri" w:cs="Calibri"/>
          <w:b/>
          <w:bCs/>
          <w:color w:val="50637D" w:themeColor="text2" w:themeTint="E6"/>
          <w:sz w:val="28"/>
          <w:szCs w:val="28"/>
        </w:rPr>
        <w:t>4-5-6 aprile 2025</w:t>
      </w:r>
    </w:p>
    <w:p w14:paraId="1F2D8795" w14:textId="77777777" w:rsidR="007341E4" w:rsidRPr="007341E4" w:rsidRDefault="007341E4" w:rsidP="007341E4">
      <w:pPr>
        <w:spacing w:before="100" w:beforeAutospacing="1" w:after="100" w:afterAutospacing="1" w:line="240" w:lineRule="auto"/>
        <w:jc w:val="both"/>
        <w:rPr>
          <w:rFonts w:ascii="Calibri" w:eastAsia="Times New Roman" w:hAnsi="Calibri" w:cs="Calibri"/>
          <w:sz w:val="23"/>
          <w:szCs w:val="23"/>
          <w:lang w:eastAsia="it-IT"/>
        </w:rPr>
      </w:pPr>
      <w:r w:rsidRPr="007341E4">
        <w:rPr>
          <w:rFonts w:ascii="Calibri" w:eastAsia="Times New Roman" w:hAnsi="Calibri" w:cs="Calibri"/>
          <w:sz w:val="23"/>
          <w:szCs w:val="23"/>
          <w:lang w:eastAsia="it-IT"/>
        </w:rPr>
        <w:t>I Musei non solo come spazi di educazione e progresso del pensiero, ma innanzitutto come luoghi dall’impatto sociale ampio e cross-generazionale, contribuendo a sviluppare un senso profondo di appartenenza, identità</w:t>
      </w:r>
      <w:r w:rsidRPr="007341E4">
        <w:rPr>
          <w:sz w:val="23"/>
          <w:szCs w:val="23"/>
        </w:rPr>
        <w:t xml:space="preserve"> individuale e collettiva</w:t>
      </w:r>
      <w:r w:rsidRPr="007341E4">
        <w:rPr>
          <w:rFonts w:ascii="Calibri" w:eastAsia="Times New Roman" w:hAnsi="Calibri" w:cs="Calibri"/>
          <w:sz w:val="23"/>
          <w:szCs w:val="23"/>
          <w:lang w:eastAsia="it-IT"/>
        </w:rPr>
        <w:t xml:space="preserve">, cittadinanza attiva. </w:t>
      </w:r>
    </w:p>
    <w:p w14:paraId="30B730BA" w14:textId="77777777" w:rsidR="007341E4" w:rsidRPr="007341E4" w:rsidRDefault="007341E4" w:rsidP="007341E4">
      <w:pPr>
        <w:pStyle w:val="NormaleWeb"/>
        <w:jc w:val="both"/>
        <w:rPr>
          <w:rFonts w:ascii="Calibri" w:hAnsi="Calibri" w:cs="Calibri"/>
          <w:sz w:val="23"/>
          <w:szCs w:val="23"/>
        </w:rPr>
      </w:pPr>
      <w:r w:rsidRPr="007341E4">
        <w:rPr>
          <w:rFonts w:ascii="Calibri" w:hAnsi="Calibri" w:cs="Calibri"/>
          <w:sz w:val="23"/>
          <w:szCs w:val="23"/>
        </w:rPr>
        <w:t>Il tema della valutazione degli impatti sociali derivanti dalle attività museali, aspetto cruciale per lo sviluppo futuro dei Musei, è al centro dell’</w:t>
      </w:r>
      <w:r w:rsidRPr="007341E4">
        <w:rPr>
          <w:rFonts w:ascii="Calibri" w:hAnsi="Calibri" w:cs="Calibri"/>
          <w:b/>
          <w:bCs/>
          <w:sz w:val="23"/>
          <w:szCs w:val="23"/>
        </w:rPr>
        <w:t xml:space="preserve">Assemblea Annuale dei Soci ICOM Italia 2025 </w:t>
      </w:r>
      <w:r w:rsidRPr="007341E4">
        <w:rPr>
          <w:rFonts w:ascii="Calibri" w:hAnsi="Calibri" w:cs="Calibri"/>
          <w:sz w:val="23"/>
          <w:szCs w:val="23"/>
        </w:rPr>
        <w:t xml:space="preserve">in programma al </w:t>
      </w:r>
      <w:r w:rsidRPr="007341E4">
        <w:rPr>
          <w:rFonts w:ascii="Calibri" w:hAnsi="Calibri" w:cs="Calibri"/>
          <w:b/>
          <w:bCs/>
          <w:sz w:val="23"/>
          <w:szCs w:val="23"/>
        </w:rPr>
        <w:t>Museo di Santa Giulia a Brescia da venerdì 4 a domenica 6 aprile</w:t>
      </w:r>
      <w:r w:rsidRPr="007341E4">
        <w:rPr>
          <w:rFonts w:ascii="Calibri" w:hAnsi="Calibri" w:cs="Calibri"/>
          <w:sz w:val="23"/>
          <w:szCs w:val="23"/>
        </w:rPr>
        <w:t>, evento</w:t>
      </w:r>
      <w:r w:rsidRPr="007341E4">
        <w:rPr>
          <w:rFonts w:ascii="Calibri" w:hAnsi="Calibri" w:cs="Calibri"/>
          <w:b/>
          <w:bCs/>
          <w:sz w:val="23"/>
          <w:szCs w:val="23"/>
        </w:rPr>
        <w:t xml:space="preserve"> </w:t>
      </w:r>
      <w:r w:rsidRPr="007341E4">
        <w:rPr>
          <w:rFonts w:ascii="Calibri" w:hAnsi="Calibri" w:cs="Calibri"/>
          <w:sz w:val="23"/>
          <w:szCs w:val="23"/>
        </w:rPr>
        <w:t xml:space="preserve">organizzato da </w:t>
      </w:r>
      <w:r w:rsidRPr="007341E4">
        <w:rPr>
          <w:rFonts w:ascii="Calibri" w:hAnsi="Calibri" w:cs="Calibri"/>
          <w:b/>
          <w:bCs/>
          <w:sz w:val="23"/>
          <w:szCs w:val="23"/>
        </w:rPr>
        <w:t>ICOM Italia</w:t>
      </w:r>
      <w:r w:rsidRPr="007341E4">
        <w:rPr>
          <w:rFonts w:ascii="Calibri" w:hAnsi="Calibri" w:cs="Calibri"/>
          <w:sz w:val="23"/>
          <w:szCs w:val="23"/>
        </w:rPr>
        <w:t xml:space="preserve"> in collaborazione con</w:t>
      </w:r>
      <w:r w:rsidRPr="007341E4">
        <w:rPr>
          <w:rFonts w:ascii="Calibri" w:hAnsi="Calibri" w:cs="Calibri"/>
          <w:b/>
          <w:bCs/>
          <w:sz w:val="23"/>
          <w:szCs w:val="23"/>
        </w:rPr>
        <w:t xml:space="preserve"> Fondazione Brescia Musei </w:t>
      </w:r>
      <w:r w:rsidRPr="007341E4">
        <w:rPr>
          <w:rFonts w:ascii="Calibri" w:hAnsi="Calibri" w:cs="Calibri"/>
          <w:sz w:val="23"/>
          <w:szCs w:val="23"/>
        </w:rPr>
        <w:t>e</w:t>
      </w:r>
      <w:r w:rsidRPr="007341E4">
        <w:rPr>
          <w:rFonts w:ascii="Calibri" w:hAnsi="Calibri" w:cs="Calibri"/>
          <w:b/>
          <w:bCs/>
          <w:sz w:val="23"/>
          <w:szCs w:val="23"/>
        </w:rPr>
        <w:t xml:space="preserve"> Intesa Sanpaolo</w:t>
      </w:r>
      <w:r w:rsidRPr="007341E4">
        <w:rPr>
          <w:rFonts w:ascii="Calibri" w:hAnsi="Calibri" w:cs="Calibri"/>
          <w:sz w:val="23"/>
          <w:szCs w:val="23"/>
        </w:rPr>
        <w:t>, con il supporto di</w:t>
      </w:r>
      <w:r w:rsidRPr="007341E4">
        <w:rPr>
          <w:rFonts w:ascii="Calibri" w:hAnsi="Calibri" w:cs="Calibri"/>
          <w:b/>
          <w:bCs/>
          <w:sz w:val="23"/>
          <w:szCs w:val="23"/>
        </w:rPr>
        <w:t xml:space="preserve"> Fondazione ASM </w:t>
      </w:r>
      <w:r w:rsidRPr="007341E4">
        <w:rPr>
          <w:rFonts w:ascii="Calibri" w:hAnsi="Calibri" w:cs="Calibri"/>
          <w:sz w:val="23"/>
          <w:szCs w:val="23"/>
        </w:rPr>
        <w:t>e</w:t>
      </w:r>
      <w:r w:rsidRPr="007341E4">
        <w:rPr>
          <w:rFonts w:ascii="Calibri" w:hAnsi="Calibri" w:cs="Calibri"/>
          <w:b/>
          <w:bCs/>
          <w:sz w:val="23"/>
          <w:szCs w:val="23"/>
        </w:rPr>
        <w:t xml:space="preserve"> Fondazione CAB</w:t>
      </w:r>
      <w:r w:rsidRPr="007341E4">
        <w:rPr>
          <w:rFonts w:ascii="Calibri" w:hAnsi="Calibri" w:cs="Calibri"/>
          <w:sz w:val="23"/>
          <w:szCs w:val="23"/>
        </w:rPr>
        <w:t xml:space="preserve">. </w:t>
      </w:r>
    </w:p>
    <w:p w14:paraId="7ED521FD" w14:textId="77777777" w:rsidR="007341E4" w:rsidRPr="007341E4" w:rsidRDefault="007341E4" w:rsidP="007341E4">
      <w:pPr>
        <w:pStyle w:val="NormaleWeb"/>
        <w:jc w:val="both"/>
        <w:rPr>
          <w:rFonts w:ascii="Calibri" w:hAnsi="Calibri" w:cs="Calibri"/>
          <w:sz w:val="23"/>
          <w:szCs w:val="23"/>
        </w:rPr>
      </w:pPr>
      <w:r w:rsidRPr="007341E4">
        <w:rPr>
          <w:rFonts w:ascii="Calibri" w:hAnsi="Calibri" w:cs="Calibri"/>
          <w:sz w:val="23"/>
          <w:szCs w:val="23"/>
        </w:rPr>
        <w:t xml:space="preserve">D’altronde, la nuova definizione di Museo, approvata a Praga nell’agosto del 2022, indica nella partecipazione sociale uno tra gli obiettivi primari per la creazione di ecosistemi inclusivi, un elemento fondamentale per promuovere, in un contesto contemporaneo sempre più globale e interconnesso, una visione del patrimonio dei musei aperta, diversa e multiculturale, in sintonia con le sensibilità contemporanee e con la costruzione di società che favoriscano l’innovazione. </w:t>
      </w:r>
    </w:p>
    <w:p w14:paraId="5185DF9E" w14:textId="77777777" w:rsidR="007341E4" w:rsidRPr="007341E4" w:rsidRDefault="007341E4" w:rsidP="007341E4">
      <w:pPr>
        <w:pStyle w:val="NormaleWeb"/>
        <w:jc w:val="both"/>
        <w:rPr>
          <w:rFonts w:ascii="Calibri" w:hAnsi="Calibri" w:cs="Calibri"/>
          <w:sz w:val="23"/>
          <w:szCs w:val="23"/>
        </w:rPr>
      </w:pPr>
      <w:r w:rsidRPr="007341E4">
        <w:rPr>
          <w:rFonts w:ascii="Calibri" w:hAnsi="Calibri" w:cs="Calibri"/>
          <w:sz w:val="23"/>
          <w:szCs w:val="23"/>
        </w:rPr>
        <w:t xml:space="preserve">Musei che diventano attori principali nella costruzione di una società più consapevole, inclusiva e partecipativa, dove far germogliare valori quali rispetto, solidarietà e cooperazione; luoghi dove si concretizzano le politiche inclusive, sia attraverso la progettazione dei contenuti espositivi che nelle attività di </w:t>
      </w:r>
      <w:r w:rsidRPr="007341E4">
        <w:rPr>
          <w:rFonts w:ascii="Calibri" w:hAnsi="Calibri" w:cs="Calibri"/>
          <w:i/>
          <w:iCs/>
          <w:sz w:val="23"/>
          <w:szCs w:val="23"/>
        </w:rPr>
        <w:t>public engagement</w:t>
      </w:r>
      <w:r w:rsidRPr="007341E4">
        <w:rPr>
          <w:rFonts w:ascii="Calibri" w:hAnsi="Calibri" w:cs="Calibri"/>
          <w:sz w:val="23"/>
          <w:szCs w:val="23"/>
        </w:rPr>
        <w:t xml:space="preserve">. Queste ultime non solo si affiancano, ma talvolta sostituiscono altri servizi di </w:t>
      </w:r>
      <w:r w:rsidRPr="007341E4">
        <w:rPr>
          <w:rFonts w:ascii="Calibri" w:hAnsi="Calibri" w:cs="Calibri"/>
          <w:i/>
          <w:iCs/>
          <w:sz w:val="23"/>
          <w:szCs w:val="23"/>
        </w:rPr>
        <w:t xml:space="preserve">welfare </w:t>
      </w:r>
      <w:r w:rsidRPr="007341E4">
        <w:rPr>
          <w:rFonts w:ascii="Calibri" w:hAnsi="Calibri" w:cs="Calibri"/>
          <w:sz w:val="23"/>
          <w:szCs w:val="23"/>
        </w:rPr>
        <w:t>locale, nei territori in cui i musei sono attivi.</w:t>
      </w:r>
    </w:p>
    <w:p w14:paraId="17E0A238" w14:textId="77777777" w:rsidR="007341E4" w:rsidRPr="007341E4" w:rsidRDefault="007341E4" w:rsidP="007341E4">
      <w:pPr>
        <w:pStyle w:val="NormaleWeb"/>
        <w:jc w:val="both"/>
        <w:rPr>
          <w:rFonts w:ascii="Calibri" w:hAnsi="Calibri" w:cs="Calibri"/>
          <w:sz w:val="23"/>
          <w:szCs w:val="23"/>
        </w:rPr>
      </w:pPr>
      <w:r w:rsidRPr="007341E4">
        <w:rPr>
          <w:rFonts w:ascii="Calibri" w:hAnsi="Calibri" w:cs="Calibri"/>
          <w:sz w:val="23"/>
          <w:szCs w:val="23"/>
        </w:rPr>
        <w:t>Il sistema museale richiede quindi che venga riconosciuto il significativo impatto che queste istituzioni esercitano sulle comunità locali e sui territori in cui operano. Per raggiungere questo obiettivo è necessario un cambiamento di paradigma che preveda l’adozione di un’analisi strutturata degli effetti sociali generati dalle loro attività.</w:t>
      </w:r>
    </w:p>
    <w:p w14:paraId="1FBBEE73" w14:textId="77777777" w:rsidR="007341E4" w:rsidRPr="007341E4" w:rsidRDefault="007341E4" w:rsidP="007341E4">
      <w:pPr>
        <w:pStyle w:val="NormaleWeb"/>
        <w:jc w:val="both"/>
        <w:rPr>
          <w:rFonts w:ascii="Calibri" w:hAnsi="Calibri" w:cs="Calibri"/>
          <w:sz w:val="23"/>
          <w:szCs w:val="23"/>
        </w:rPr>
      </w:pPr>
      <w:r w:rsidRPr="007341E4">
        <w:rPr>
          <w:rFonts w:ascii="Calibri" w:hAnsi="Calibri" w:cs="Calibri"/>
          <w:b/>
          <w:bCs/>
          <w:sz w:val="23"/>
          <w:szCs w:val="23"/>
        </w:rPr>
        <w:t>L'Assemblea Annuale dei Soci ICOM Italia</w:t>
      </w:r>
      <w:r w:rsidRPr="007341E4">
        <w:rPr>
          <w:rFonts w:ascii="Calibri" w:hAnsi="Calibri" w:cs="Calibri"/>
          <w:sz w:val="23"/>
          <w:szCs w:val="23"/>
        </w:rPr>
        <w:t xml:space="preserve"> intende dunque avviare un dibattito e una riflessione sul modo migliore di rendicontare e comunicare le iniziative museali, adottando criteri il più possibile omogenei, in modo da generare valore concreto per le istituzioni culturali e stimolare futuri sviluppi positivi. </w:t>
      </w:r>
    </w:p>
    <w:p w14:paraId="07B77CC9" w14:textId="79F580D9" w:rsidR="007341E4" w:rsidRDefault="007341E4" w:rsidP="007341E4">
      <w:pPr>
        <w:pStyle w:val="NormaleWeb"/>
        <w:jc w:val="both"/>
        <w:rPr>
          <w:rFonts w:ascii="Calibri" w:hAnsi="Calibri" w:cs="Calibri"/>
          <w:sz w:val="23"/>
          <w:szCs w:val="23"/>
        </w:rPr>
      </w:pPr>
      <w:r w:rsidRPr="007341E4">
        <w:rPr>
          <w:rFonts w:ascii="Calibri" w:hAnsi="Calibri" w:cs="Calibri"/>
          <w:sz w:val="23"/>
          <w:szCs w:val="23"/>
        </w:rPr>
        <w:t xml:space="preserve">Grazie agli interventi di relatori internazionali ed esperti del settore, il tema sarà trattato sotto diverse angolazioni, consentendo ai partecipanti di apprendere nuove pratiche e di contribuire attivamente (come in occasione dei 15 tavoli di lavoro previsti nella giornata di sabato 5 aprile) alla discussione e alla definizione di una </w:t>
      </w:r>
      <w:r w:rsidRPr="007341E4">
        <w:rPr>
          <w:rFonts w:ascii="Calibri" w:hAnsi="Calibri" w:cs="Calibri"/>
          <w:i/>
          <w:iCs/>
          <w:sz w:val="23"/>
          <w:szCs w:val="23"/>
        </w:rPr>
        <w:t xml:space="preserve">roadmap </w:t>
      </w:r>
      <w:r w:rsidRPr="007341E4">
        <w:rPr>
          <w:rFonts w:ascii="Calibri" w:hAnsi="Calibri" w:cs="Calibri"/>
          <w:sz w:val="23"/>
          <w:szCs w:val="23"/>
        </w:rPr>
        <w:t xml:space="preserve">di azioni concrete. </w:t>
      </w:r>
    </w:p>
    <w:p w14:paraId="67B4F0AA" w14:textId="77777777" w:rsidR="007341E4" w:rsidRPr="007341E4" w:rsidRDefault="007341E4" w:rsidP="007341E4">
      <w:pPr>
        <w:pStyle w:val="NormaleWeb"/>
        <w:jc w:val="both"/>
        <w:rPr>
          <w:rFonts w:ascii="Calibri" w:hAnsi="Calibri" w:cs="Calibri"/>
          <w:sz w:val="23"/>
          <w:szCs w:val="23"/>
        </w:rPr>
      </w:pPr>
    </w:p>
    <w:p w14:paraId="253AD7AE" w14:textId="77777777" w:rsidR="007341E4" w:rsidRPr="007341E4" w:rsidRDefault="007341E4" w:rsidP="007341E4">
      <w:pPr>
        <w:pStyle w:val="NormaleWeb"/>
        <w:spacing w:before="0" w:beforeAutospacing="0" w:after="0" w:afterAutospacing="0"/>
        <w:jc w:val="both"/>
        <w:rPr>
          <w:rFonts w:ascii="Calibri" w:hAnsi="Calibri" w:cs="Calibri"/>
          <w:sz w:val="23"/>
          <w:szCs w:val="23"/>
        </w:rPr>
      </w:pPr>
      <w:r w:rsidRPr="007341E4">
        <w:rPr>
          <w:rFonts w:ascii="Calibri" w:hAnsi="Calibri" w:cs="Calibri"/>
          <w:sz w:val="23"/>
          <w:szCs w:val="23"/>
        </w:rPr>
        <w:t xml:space="preserve">In un contesto globale che pone sempre più l’accento sulla sostenibilità e sull’impatto sociale, i tavoli di discussione offrono l’opportunità di riflettere su come i musei possano rinnovarsi e diventare protagonisti di un cambiamento positivo: </w:t>
      </w:r>
    </w:p>
    <w:p w14:paraId="5D70EB93" w14:textId="77777777" w:rsidR="007341E4" w:rsidRPr="007341E4" w:rsidRDefault="007341E4" w:rsidP="007341E4">
      <w:pPr>
        <w:pStyle w:val="NormaleWeb"/>
        <w:spacing w:before="0" w:beforeAutospacing="0" w:after="0" w:afterAutospacing="0"/>
        <w:jc w:val="both"/>
        <w:rPr>
          <w:rFonts w:ascii="Calibri" w:hAnsi="Calibri" w:cs="Calibri"/>
          <w:sz w:val="23"/>
          <w:szCs w:val="23"/>
        </w:rPr>
      </w:pPr>
      <w:r w:rsidRPr="007341E4">
        <w:rPr>
          <w:rFonts w:ascii="Calibri" w:hAnsi="Calibri" w:cs="Calibri"/>
          <w:sz w:val="23"/>
          <w:szCs w:val="23"/>
        </w:rPr>
        <w:t xml:space="preserve">Dall’investire in pratiche sostenibili applicando i principi ESG al rafforzare la trasparenza nella rendicontazione; dal creare alleanze pubblico-private che possano fare dei musei dei veri catalizzatori di innovazione sociale, generando un impatto duraturo sulle persone e sulle comunità, agli interventi per favorire l’accessibilità e l’inclusione. </w:t>
      </w:r>
    </w:p>
    <w:p w14:paraId="500A5D8A" w14:textId="77777777" w:rsidR="007341E4" w:rsidRPr="007341E4" w:rsidRDefault="007341E4" w:rsidP="007341E4">
      <w:pPr>
        <w:pStyle w:val="NormaleWeb"/>
        <w:spacing w:before="0" w:beforeAutospacing="0" w:after="0" w:afterAutospacing="0"/>
        <w:jc w:val="both"/>
        <w:rPr>
          <w:rFonts w:ascii="Calibri" w:hAnsi="Calibri" w:cs="Calibri"/>
          <w:sz w:val="23"/>
          <w:szCs w:val="23"/>
        </w:rPr>
      </w:pPr>
      <w:r w:rsidRPr="007341E4">
        <w:rPr>
          <w:rFonts w:ascii="Calibri" w:hAnsi="Calibri" w:cs="Calibri"/>
          <w:sz w:val="23"/>
          <w:szCs w:val="23"/>
        </w:rPr>
        <w:t>In questo cammino, l'adozione di nuovi strumenti digitali, l’intelligenza artificiale e l’analisi dei dati rappresentano risorse fondamentali per misurare e ottimizzare gli impatti dei musei, rendendo sempre più tangibile il loro ruolo nel benessere collettivo e nella sostenibilità sociale e ambientale; senza dimenticare il bisogno di investire nel rapporto tra musei e città per una rigenerazione attiva urbana che passi attraverso il dialogo con il contesto sociale e territoriale.</w:t>
      </w:r>
    </w:p>
    <w:p w14:paraId="38B349A1" w14:textId="77777777" w:rsidR="007341E4" w:rsidRPr="007341E4" w:rsidRDefault="007341E4" w:rsidP="007341E4">
      <w:pPr>
        <w:pStyle w:val="NormaleWeb"/>
        <w:spacing w:before="0" w:beforeAutospacing="0" w:after="0" w:afterAutospacing="0"/>
        <w:jc w:val="both"/>
        <w:rPr>
          <w:rFonts w:ascii="Calibri" w:hAnsi="Calibri" w:cs="Calibri"/>
          <w:sz w:val="23"/>
          <w:szCs w:val="23"/>
        </w:rPr>
      </w:pPr>
    </w:p>
    <w:p w14:paraId="511C7ECD" w14:textId="77777777" w:rsidR="007341E4" w:rsidRPr="007341E4" w:rsidRDefault="007341E4" w:rsidP="007341E4">
      <w:pPr>
        <w:pStyle w:val="NormaleWeb"/>
        <w:spacing w:before="0" w:beforeAutospacing="0" w:after="0" w:afterAutospacing="0"/>
        <w:jc w:val="both"/>
        <w:rPr>
          <w:rFonts w:ascii="Calibri" w:hAnsi="Calibri" w:cs="Calibri"/>
          <w:sz w:val="23"/>
          <w:szCs w:val="23"/>
        </w:rPr>
      </w:pPr>
      <w:r w:rsidRPr="007341E4">
        <w:rPr>
          <w:rFonts w:ascii="Calibri" w:hAnsi="Calibri" w:cs="Calibri"/>
          <w:sz w:val="23"/>
          <w:szCs w:val="23"/>
        </w:rPr>
        <w:t>Sede dell’assemblea 2025 è il Museo di Santa Giulia, patrimonio mondiale dell’UNESCO e tra gli spazi culturali gestiti da Fondazione Brescia Musei che co-organizza l’iniziativa.</w:t>
      </w:r>
    </w:p>
    <w:p w14:paraId="4D396C18" w14:textId="77777777" w:rsidR="007341E4" w:rsidRPr="007341E4" w:rsidRDefault="007341E4" w:rsidP="007341E4">
      <w:pPr>
        <w:pStyle w:val="NormaleWeb"/>
        <w:spacing w:before="0" w:beforeAutospacing="0" w:after="0" w:afterAutospacing="0"/>
        <w:jc w:val="both"/>
        <w:rPr>
          <w:rFonts w:ascii="Calibri" w:hAnsi="Calibri" w:cs="Calibri"/>
          <w:sz w:val="23"/>
          <w:szCs w:val="23"/>
        </w:rPr>
      </w:pPr>
      <w:r w:rsidRPr="007341E4">
        <w:rPr>
          <w:rFonts w:ascii="Calibri" w:hAnsi="Calibri" w:cs="Calibri"/>
          <w:sz w:val="23"/>
          <w:szCs w:val="23"/>
        </w:rPr>
        <w:t>L’istituzione bresciana è attiva da anni nell'identificare e promuovere il nuovo ruolo dei musei, attraverso azioni specifiche rivolte al pubblico e ai professionisti, ritenendo che il tema dell'impatto sociale generato dall'attività culturale rappresenti l’orizzonte di riferimento entro cui operare, con particolare focus sul ruolo delle collaborazioni pubblico-privato per - dove possibile - quantificarle in modo da produrre dei benchmark analizzabili, sensibili e confrontabili con altri tipi di intervento, al fine di migliorare l'ecosistema complessivo museale.</w:t>
      </w:r>
    </w:p>
    <w:p w14:paraId="2EF4A498" w14:textId="77777777" w:rsidR="007341E4" w:rsidRPr="007341E4" w:rsidRDefault="007341E4" w:rsidP="007341E4">
      <w:pPr>
        <w:pStyle w:val="NormaleWeb"/>
        <w:spacing w:before="0" w:beforeAutospacing="0" w:after="0" w:afterAutospacing="0"/>
        <w:jc w:val="both"/>
        <w:rPr>
          <w:rFonts w:ascii="Calibri" w:hAnsi="Calibri" w:cs="Calibri"/>
          <w:sz w:val="23"/>
          <w:szCs w:val="23"/>
        </w:rPr>
      </w:pPr>
    </w:p>
    <w:p w14:paraId="7A5B26D1" w14:textId="77777777" w:rsidR="007341E4" w:rsidRPr="007341E4" w:rsidRDefault="007341E4" w:rsidP="007341E4">
      <w:pPr>
        <w:pStyle w:val="NormaleWeb"/>
        <w:spacing w:before="0" w:beforeAutospacing="0" w:after="0" w:afterAutospacing="0"/>
        <w:jc w:val="both"/>
        <w:rPr>
          <w:rFonts w:ascii="Calibri" w:hAnsi="Calibri" w:cs="Calibri"/>
          <w:sz w:val="23"/>
          <w:szCs w:val="23"/>
        </w:rPr>
      </w:pPr>
      <w:r w:rsidRPr="007341E4">
        <w:rPr>
          <w:rFonts w:ascii="Calibri" w:hAnsi="Calibri" w:cs="Calibri"/>
          <w:sz w:val="23"/>
          <w:szCs w:val="23"/>
        </w:rPr>
        <w:t>.………………………………………………</w:t>
      </w:r>
    </w:p>
    <w:p w14:paraId="15ED2AB2" w14:textId="77777777" w:rsidR="007341E4" w:rsidRPr="007341E4" w:rsidRDefault="007341E4" w:rsidP="007341E4">
      <w:pPr>
        <w:pStyle w:val="NormaleWeb"/>
        <w:spacing w:before="0" w:beforeAutospacing="0" w:after="0" w:afterAutospacing="0"/>
        <w:jc w:val="both"/>
        <w:rPr>
          <w:rFonts w:ascii="Calibri" w:hAnsi="Calibri" w:cs="Calibri"/>
          <w:sz w:val="23"/>
          <w:szCs w:val="23"/>
        </w:rPr>
      </w:pPr>
      <w:r w:rsidRPr="007341E4">
        <w:rPr>
          <w:rFonts w:ascii="Calibri" w:hAnsi="Calibri" w:cs="Calibri"/>
          <w:sz w:val="23"/>
          <w:szCs w:val="23"/>
        </w:rPr>
        <w:t xml:space="preserve">Il </w:t>
      </w:r>
      <w:r w:rsidRPr="007341E4">
        <w:rPr>
          <w:rFonts w:ascii="Calibri" w:hAnsi="Calibri" w:cs="Calibri"/>
          <w:b/>
          <w:bCs/>
          <w:sz w:val="23"/>
          <w:szCs w:val="23"/>
        </w:rPr>
        <w:t>Comitato scientifico</w:t>
      </w:r>
      <w:r w:rsidRPr="007341E4">
        <w:rPr>
          <w:rFonts w:ascii="Calibri" w:hAnsi="Calibri" w:cs="Calibri"/>
          <w:sz w:val="23"/>
          <w:szCs w:val="23"/>
        </w:rPr>
        <w:t xml:space="preserve"> dell’evento è composto da</w:t>
      </w:r>
      <w:r w:rsidRPr="007341E4">
        <w:rPr>
          <w:rFonts w:ascii="Calibri" w:hAnsi="Calibri" w:cs="Calibri"/>
          <w:b/>
          <w:bCs/>
          <w:sz w:val="23"/>
          <w:szCs w:val="23"/>
        </w:rPr>
        <w:t xml:space="preserve"> Deborah Agostino</w:t>
      </w:r>
      <w:r w:rsidRPr="007341E4">
        <w:rPr>
          <w:rFonts w:ascii="Calibri" w:hAnsi="Calibri" w:cs="Calibri"/>
          <w:sz w:val="23"/>
          <w:szCs w:val="23"/>
        </w:rPr>
        <w:t>, Politecnico di Milano;</w:t>
      </w:r>
      <w:r w:rsidRPr="007341E4">
        <w:rPr>
          <w:rFonts w:ascii="Calibri" w:hAnsi="Calibri" w:cs="Calibri"/>
          <w:b/>
          <w:bCs/>
          <w:sz w:val="23"/>
          <w:szCs w:val="23"/>
        </w:rPr>
        <w:t xml:space="preserve"> Annalisa Cicerchia, </w:t>
      </w:r>
      <w:r w:rsidRPr="007341E4">
        <w:rPr>
          <w:rFonts w:ascii="Calibri" w:hAnsi="Calibri" w:cs="Calibri"/>
          <w:sz w:val="23"/>
          <w:szCs w:val="23"/>
        </w:rPr>
        <w:t xml:space="preserve">CCW - Cultural Welfare Centre; </w:t>
      </w:r>
      <w:r w:rsidRPr="007341E4">
        <w:rPr>
          <w:rFonts w:ascii="Calibri" w:hAnsi="Calibri" w:cs="Calibri"/>
          <w:b/>
          <w:bCs/>
          <w:sz w:val="23"/>
          <w:szCs w:val="23"/>
        </w:rPr>
        <w:t>Paola Dubini</w:t>
      </w:r>
      <w:r w:rsidRPr="007341E4">
        <w:rPr>
          <w:rFonts w:ascii="Calibri" w:hAnsi="Calibri" w:cs="Calibri"/>
          <w:sz w:val="23"/>
          <w:szCs w:val="23"/>
        </w:rPr>
        <w:t xml:space="preserve">, Università Bocconi; </w:t>
      </w:r>
      <w:r w:rsidRPr="007341E4">
        <w:rPr>
          <w:rFonts w:ascii="Calibri" w:hAnsi="Calibri" w:cs="Calibri"/>
          <w:b/>
          <w:bCs/>
          <w:sz w:val="23"/>
          <w:szCs w:val="23"/>
        </w:rPr>
        <w:t>Francesca Lambertini</w:t>
      </w:r>
      <w:r w:rsidRPr="007341E4">
        <w:rPr>
          <w:rFonts w:ascii="Calibri" w:hAnsi="Calibri" w:cs="Calibri"/>
          <w:sz w:val="23"/>
          <w:szCs w:val="23"/>
        </w:rPr>
        <w:t xml:space="preserve">, BAM! Strategie culturali; </w:t>
      </w:r>
      <w:r w:rsidRPr="007341E4">
        <w:rPr>
          <w:rFonts w:ascii="Calibri" w:hAnsi="Calibri" w:cs="Calibri"/>
          <w:b/>
          <w:bCs/>
          <w:sz w:val="23"/>
          <w:szCs w:val="23"/>
        </w:rPr>
        <w:t>Valentina Langella</w:t>
      </w:r>
      <w:r w:rsidRPr="007341E4">
        <w:rPr>
          <w:rFonts w:ascii="Calibri" w:hAnsi="Calibri" w:cs="Calibri"/>
          <w:sz w:val="23"/>
          <w:szCs w:val="23"/>
        </w:rPr>
        <w:t xml:space="preserve">, Social Impact Italia; </w:t>
      </w:r>
      <w:r w:rsidRPr="007341E4">
        <w:rPr>
          <w:rFonts w:ascii="Calibri" w:hAnsi="Calibri" w:cs="Calibri"/>
          <w:b/>
          <w:bCs/>
          <w:sz w:val="23"/>
          <w:szCs w:val="23"/>
        </w:rPr>
        <w:t>Julia Pagel</w:t>
      </w:r>
      <w:r w:rsidRPr="007341E4">
        <w:rPr>
          <w:rFonts w:ascii="Calibri" w:hAnsi="Calibri" w:cs="Calibri"/>
          <w:sz w:val="23"/>
          <w:szCs w:val="23"/>
        </w:rPr>
        <w:t xml:space="preserve">, NEMO; </w:t>
      </w:r>
      <w:r w:rsidRPr="007341E4">
        <w:rPr>
          <w:rFonts w:ascii="Calibri" w:hAnsi="Calibri" w:cs="Calibri"/>
          <w:b/>
          <w:bCs/>
          <w:sz w:val="23"/>
          <w:szCs w:val="23"/>
        </w:rPr>
        <w:t>Pierluigi Sacco</w:t>
      </w:r>
      <w:r w:rsidRPr="007341E4">
        <w:rPr>
          <w:rFonts w:ascii="Calibri" w:hAnsi="Calibri" w:cs="Calibri"/>
          <w:sz w:val="23"/>
          <w:szCs w:val="23"/>
        </w:rPr>
        <w:t xml:space="preserve">, Università di Chieti-Pescara; </w:t>
      </w:r>
      <w:r w:rsidRPr="007341E4">
        <w:rPr>
          <w:rFonts w:ascii="Calibri" w:hAnsi="Calibri" w:cs="Calibri"/>
          <w:b/>
          <w:bCs/>
          <w:sz w:val="23"/>
          <w:szCs w:val="23"/>
        </w:rPr>
        <w:t>Ludovico Solima</w:t>
      </w:r>
      <w:r w:rsidRPr="007341E4">
        <w:rPr>
          <w:rFonts w:ascii="Calibri" w:hAnsi="Calibri" w:cs="Calibri"/>
          <w:sz w:val="23"/>
          <w:szCs w:val="23"/>
        </w:rPr>
        <w:t xml:space="preserve">, Università della Campania "L. Vanvitelli"; </w:t>
      </w:r>
      <w:r w:rsidRPr="007341E4">
        <w:rPr>
          <w:rFonts w:ascii="Calibri" w:hAnsi="Calibri" w:cs="Calibri"/>
          <w:b/>
          <w:bCs/>
          <w:sz w:val="23"/>
          <w:szCs w:val="23"/>
        </w:rPr>
        <w:t>Roberto Vannata</w:t>
      </w:r>
      <w:r w:rsidRPr="007341E4">
        <w:rPr>
          <w:rFonts w:ascii="Calibri" w:hAnsi="Calibri" w:cs="Calibri"/>
          <w:sz w:val="23"/>
          <w:szCs w:val="23"/>
        </w:rPr>
        <w:t>, Ministero della Cultura.</w:t>
      </w:r>
    </w:p>
    <w:p w14:paraId="468BB16D" w14:textId="77777777" w:rsidR="007341E4" w:rsidRPr="007341E4" w:rsidRDefault="007341E4" w:rsidP="007341E4">
      <w:pPr>
        <w:pStyle w:val="NormaleWeb"/>
        <w:spacing w:before="0" w:beforeAutospacing="0" w:after="0" w:afterAutospacing="0"/>
        <w:jc w:val="both"/>
        <w:rPr>
          <w:rFonts w:ascii="Calibri" w:hAnsi="Calibri" w:cs="Calibri"/>
          <w:sz w:val="23"/>
          <w:szCs w:val="23"/>
        </w:rPr>
      </w:pPr>
      <w:r w:rsidRPr="007341E4">
        <w:rPr>
          <w:rFonts w:ascii="Calibri" w:hAnsi="Calibri" w:cs="Calibri"/>
          <w:sz w:val="23"/>
          <w:szCs w:val="23"/>
        </w:rPr>
        <w:t xml:space="preserve">L’Assemblea Nazionale ICOM Italia 2025 è promossa da </w:t>
      </w:r>
      <w:r w:rsidRPr="007341E4">
        <w:rPr>
          <w:rFonts w:ascii="Calibri" w:hAnsi="Calibri" w:cs="Calibri"/>
          <w:b/>
          <w:bCs/>
          <w:sz w:val="23"/>
          <w:szCs w:val="23"/>
        </w:rPr>
        <w:t>ICOM Italia, Fondazione Brescia Musei e Comune di Brescia</w:t>
      </w:r>
      <w:r w:rsidRPr="007341E4">
        <w:rPr>
          <w:rFonts w:ascii="Calibri" w:hAnsi="Calibri" w:cs="Calibri"/>
          <w:sz w:val="23"/>
          <w:szCs w:val="23"/>
        </w:rPr>
        <w:t xml:space="preserve"> in collaborazione con </w:t>
      </w:r>
      <w:r w:rsidRPr="007341E4">
        <w:rPr>
          <w:rFonts w:ascii="Calibri" w:hAnsi="Calibri" w:cs="Calibri"/>
          <w:b/>
          <w:bCs/>
          <w:sz w:val="23"/>
          <w:szCs w:val="23"/>
        </w:rPr>
        <w:t>Intesa Sanpaolo</w:t>
      </w:r>
      <w:r w:rsidRPr="007341E4">
        <w:rPr>
          <w:rFonts w:ascii="Calibri" w:hAnsi="Calibri" w:cs="Calibri"/>
          <w:sz w:val="23"/>
          <w:szCs w:val="23"/>
        </w:rPr>
        <w:t xml:space="preserve"> e con il supporto di </w:t>
      </w:r>
      <w:r w:rsidRPr="007341E4">
        <w:rPr>
          <w:rFonts w:ascii="Calibri" w:hAnsi="Calibri" w:cs="Calibri"/>
          <w:b/>
          <w:bCs/>
          <w:sz w:val="23"/>
          <w:szCs w:val="23"/>
        </w:rPr>
        <w:t>Fondazione ASM</w:t>
      </w:r>
      <w:r w:rsidRPr="007341E4">
        <w:rPr>
          <w:rFonts w:ascii="Calibri" w:hAnsi="Calibri" w:cs="Calibri"/>
          <w:sz w:val="23"/>
          <w:szCs w:val="23"/>
        </w:rPr>
        <w:t xml:space="preserve"> e </w:t>
      </w:r>
      <w:r w:rsidRPr="007341E4">
        <w:rPr>
          <w:rFonts w:ascii="Calibri" w:hAnsi="Calibri" w:cs="Calibri"/>
          <w:b/>
          <w:bCs/>
          <w:sz w:val="23"/>
          <w:szCs w:val="23"/>
        </w:rPr>
        <w:t>Fondazione CAB</w:t>
      </w:r>
      <w:r w:rsidRPr="007341E4">
        <w:rPr>
          <w:rFonts w:ascii="Calibri" w:hAnsi="Calibri" w:cs="Calibri"/>
          <w:sz w:val="23"/>
          <w:szCs w:val="23"/>
        </w:rPr>
        <w:t xml:space="preserve">. Partner scientifico dell’evento è la </w:t>
      </w:r>
      <w:r w:rsidRPr="007341E4">
        <w:rPr>
          <w:rFonts w:ascii="Calibri" w:hAnsi="Calibri" w:cs="Calibri"/>
          <w:b/>
          <w:bCs/>
          <w:sz w:val="23"/>
          <w:szCs w:val="23"/>
        </w:rPr>
        <w:t>Fondazione Scuola nazionale del patrimonio e delle attività culturali</w:t>
      </w:r>
      <w:r w:rsidRPr="007341E4">
        <w:rPr>
          <w:rFonts w:ascii="Calibri" w:hAnsi="Calibri" w:cs="Calibri"/>
          <w:sz w:val="23"/>
          <w:szCs w:val="23"/>
        </w:rPr>
        <w:t xml:space="preserve">, main donor è </w:t>
      </w:r>
      <w:r w:rsidRPr="007341E4">
        <w:rPr>
          <w:rFonts w:ascii="Calibri" w:hAnsi="Calibri" w:cs="Calibri"/>
          <w:b/>
          <w:bCs/>
          <w:sz w:val="23"/>
          <w:szCs w:val="23"/>
        </w:rPr>
        <w:t>Feralpi Group</w:t>
      </w:r>
      <w:r w:rsidRPr="007341E4">
        <w:rPr>
          <w:rFonts w:ascii="Calibri" w:hAnsi="Calibri" w:cs="Calibri"/>
          <w:sz w:val="23"/>
          <w:szCs w:val="23"/>
        </w:rPr>
        <w:t>.</w:t>
      </w:r>
    </w:p>
    <w:p w14:paraId="7822765D" w14:textId="77777777" w:rsidR="007341E4" w:rsidRPr="007341E4" w:rsidRDefault="007341E4" w:rsidP="007341E4">
      <w:pPr>
        <w:pStyle w:val="NormaleWeb"/>
        <w:spacing w:before="0" w:beforeAutospacing="0" w:after="0" w:afterAutospacing="0"/>
        <w:jc w:val="both"/>
        <w:rPr>
          <w:rFonts w:ascii="Calibri" w:hAnsi="Calibri" w:cs="Calibri"/>
          <w:sz w:val="23"/>
          <w:szCs w:val="23"/>
        </w:rPr>
      </w:pPr>
      <w:r w:rsidRPr="007341E4">
        <w:rPr>
          <w:rFonts w:ascii="Calibri" w:hAnsi="Calibri" w:cs="Calibri"/>
          <w:sz w:val="23"/>
          <w:szCs w:val="23"/>
        </w:rPr>
        <w:t xml:space="preserve">Sono donor di Fondazione Brescia Musei per l’Assemblea ICOM Italia 2025: </w:t>
      </w:r>
      <w:r w:rsidRPr="007341E4">
        <w:rPr>
          <w:rFonts w:ascii="Calibri" w:hAnsi="Calibri" w:cs="Calibri"/>
          <w:b/>
          <w:bCs/>
          <w:sz w:val="23"/>
          <w:szCs w:val="23"/>
        </w:rPr>
        <w:t>CNS Consorzio Nazionale Servizi, CoopCulture, Dussmann, Evoluzione Telematica, Integrarent, Skira, Cooperativa Socio Culturale, Strategica, Ticketlandia, VCB Securitas, Vu Factory, Way Experience</w:t>
      </w:r>
      <w:r w:rsidRPr="007341E4">
        <w:rPr>
          <w:rFonts w:ascii="Calibri" w:hAnsi="Calibri" w:cs="Calibri"/>
          <w:sz w:val="23"/>
          <w:szCs w:val="23"/>
        </w:rPr>
        <w:t>. </w:t>
      </w:r>
    </w:p>
    <w:p w14:paraId="5D23D0D5" w14:textId="77777777" w:rsidR="007341E4" w:rsidRPr="007341E4" w:rsidRDefault="007341E4" w:rsidP="007341E4">
      <w:pPr>
        <w:pStyle w:val="NormaleWeb"/>
        <w:spacing w:before="0" w:beforeAutospacing="0" w:after="0" w:afterAutospacing="0"/>
        <w:jc w:val="both"/>
        <w:rPr>
          <w:rFonts w:ascii="Calibri" w:hAnsi="Calibri" w:cs="Calibri"/>
          <w:sz w:val="23"/>
          <w:szCs w:val="23"/>
        </w:rPr>
      </w:pPr>
      <w:r w:rsidRPr="007341E4">
        <w:rPr>
          <w:rFonts w:ascii="Calibri" w:hAnsi="Calibri" w:cs="Calibri"/>
          <w:sz w:val="23"/>
          <w:szCs w:val="23"/>
        </w:rPr>
        <w:t xml:space="preserve">Sono hospitality partner il </w:t>
      </w:r>
      <w:r w:rsidRPr="007341E4">
        <w:rPr>
          <w:rFonts w:ascii="Calibri" w:hAnsi="Calibri" w:cs="Calibri"/>
          <w:b/>
          <w:bCs/>
          <w:sz w:val="23"/>
          <w:szCs w:val="23"/>
        </w:rPr>
        <w:t>Museo Diocesano di Brescia, Freccianera Fratelli Berlucchi, Fondazione Grana Padano e HB Hospitality Group</w:t>
      </w:r>
      <w:r w:rsidRPr="007341E4">
        <w:rPr>
          <w:rFonts w:ascii="Calibri" w:hAnsi="Calibri" w:cs="Calibri"/>
          <w:sz w:val="23"/>
          <w:szCs w:val="23"/>
        </w:rPr>
        <w:t>.</w:t>
      </w:r>
    </w:p>
    <w:p w14:paraId="420F6FBE" w14:textId="1BB81506" w:rsidR="007341E4" w:rsidRPr="007341E4" w:rsidRDefault="007341E4" w:rsidP="007341E4">
      <w:pPr>
        <w:pStyle w:val="NormaleWeb"/>
        <w:spacing w:before="0" w:beforeAutospacing="0" w:after="0" w:afterAutospacing="0"/>
        <w:jc w:val="both"/>
        <w:rPr>
          <w:rFonts w:ascii="Calibri" w:hAnsi="Calibri" w:cs="Calibri"/>
          <w:sz w:val="23"/>
          <w:szCs w:val="23"/>
        </w:rPr>
      </w:pPr>
      <w:r w:rsidRPr="007341E4">
        <w:rPr>
          <w:rFonts w:ascii="Calibri" w:hAnsi="Calibri" w:cs="Calibri"/>
          <w:sz w:val="23"/>
          <w:szCs w:val="23"/>
        </w:rPr>
        <w:t xml:space="preserve">Partner ICOM Italia per l’Assemblea Nazionale ICOM Italia 2025 è </w:t>
      </w:r>
      <w:r w:rsidRPr="007341E4">
        <w:rPr>
          <w:rFonts w:ascii="Calibri" w:hAnsi="Calibri" w:cs="Calibri"/>
          <w:b/>
          <w:bCs/>
          <w:sz w:val="23"/>
          <w:szCs w:val="23"/>
        </w:rPr>
        <w:t>Prodir</w:t>
      </w:r>
      <w:r w:rsidRPr="007341E4">
        <w:rPr>
          <w:rFonts w:ascii="Calibri" w:hAnsi="Calibri" w:cs="Calibri"/>
          <w:sz w:val="23"/>
          <w:szCs w:val="23"/>
        </w:rPr>
        <w:t xml:space="preserve">; media partner è </w:t>
      </w:r>
      <w:r w:rsidRPr="007341E4">
        <w:rPr>
          <w:rFonts w:ascii="Calibri" w:hAnsi="Calibri" w:cs="Calibri"/>
          <w:b/>
          <w:bCs/>
          <w:sz w:val="23"/>
          <w:szCs w:val="23"/>
        </w:rPr>
        <w:t>Ag</w:t>
      </w:r>
      <w:r w:rsidR="0099215D">
        <w:rPr>
          <w:rFonts w:ascii="Calibri" w:hAnsi="Calibri" w:cs="Calibri"/>
          <w:b/>
          <w:bCs/>
          <w:sz w:val="23"/>
          <w:szCs w:val="23"/>
        </w:rPr>
        <w:t>enziaCULT</w:t>
      </w:r>
      <w:r w:rsidRPr="007341E4">
        <w:rPr>
          <w:rFonts w:ascii="Calibri" w:hAnsi="Calibri" w:cs="Calibri"/>
          <w:sz w:val="23"/>
          <w:szCs w:val="23"/>
        </w:rPr>
        <w:t>. </w:t>
      </w:r>
    </w:p>
    <w:p w14:paraId="653EA93B" w14:textId="77777777" w:rsidR="007341E4" w:rsidRPr="007341E4" w:rsidRDefault="007341E4" w:rsidP="007341E4">
      <w:pPr>
        <w:pStyle w:val="NormaleWeb"/>
        <w:spacing w:before="0" w:beforeAutospacing="0" w:after="0" w:afterAutospacing="0"/>
        <w:jc w:val="both"/>
        <w:rPr>
          <w:rFonts w:ascii="Calibri" w:hAnsi="Calibri" w:cs="Calibri"/>
          <w:sz w:val="23"/>
          <w:szCs w:val="23"/>
        </w:rPr>
      </w:pPr>
    </w:p>
    <w:p w14:paraId="099B7EBB" w14:textId="77777777" w:rsidR="007341E4" w:rsidRPr="007341E4" w:rsidRDefault="007341E4" w:rsidP="007341E4">
      <w:pPr>
        <w:spacing w:after="0"/>
        <w:rPr>
          <w:rFonts w:ascii="Calibri" w:hAnsi="Calibri" w:cs="Calibri"/>
          <w:b/>
          <w:bCs/>
          <w:sz w:val="23"/>
          <w:szCs w:val="23"/>
        </w:rPr>
      </w:pPr>
      <w:r w:rsidRPr="007341E4">
        <w:rPr>
          <w:rFonts w:ascii="Calibri" w:hAnsi="Calibri" w:cs="Calibri"/>
          <w:b/>
          <w:bCs/>
          <w:sz w:val="23"/>
          <w:szCs w:val="23"/>
        </w:rPr>
        <w:t>Ufficio stampa ICOM Italia</w:t>
      </w:r>
    </w:p>
    <w:p w14:paraId="602B91C7" w14:textId="4DB80F9C" w:rsidR="007341E4" w:rsidRPr="007341E4" w:rsidRDefault="007341E4" w:rsidP="007341E4">
      <w:pPr>
        <w:spacing w:after="0"/>
        <w:rPr>
          <w:rFonts w:ascii="Calibri" w:hAnsi="Calibri" w:cs="Calibri"/>
          <w:sz w:val="23"/>
          <w:szCs w:val="23"/>
        </w:rPr>
      </w:pPr>
      <w:r w:rsidRPr="007341E4">
        <w:rPr>
          <w:rFonts w:ascii="Calibri" w:hAnsi="Calibri" w:cs="Calibri"/>
          <w:sz w:val="23"/>
          <w:szCs w:val="23"/>
        </w:rPr>
        <w:t xml:space="preserve">De Angelis Press | t. 345 7190941 | </w:t>
      </w:r>
      <w:hyperlink r:id="rId6" w:history="1">
        <w:r w:rsidRPr="007341E4">
          <w:rPr>
            <w:rStyle w:val="Collegamentoipertestuale"/>
            <w:rFonts w:ascii="Calibri" w:hAnsi="Calibri" w:cs="Calibri"/>
            <w:sz w:val="23"/>
            <w:szCs w:val="23"/>
          </w:rPr>
          <w:t>info@deangelispress.com</w:t>
        </w:r>
      </w:hyperlink>
    </w:p>
    <w:p w14:paraId="02846114" w14:textId="77777777" w:rsidR="007341E4" w:rsidRPr="007341E4" w:rsidRDefault="007341E4" w:rsidP="007341E4">
      <w:pPr>
        <w:spacing w:after="0"/>
        <w:rPr>
          <w:rFonts w:ascii="Calibri" w:hAnsi="Calibri" w:cs="Calibri"/>
          <w:sz w:val="18"/>
          <w:szCs w:val="18"/>
        </w:rPr>
      </w:pPr>
    </w:p>
    <w:p w14:paraId="2B8CF151" w14:textId="77777777" w:rsidR="007341E4" w:rsidRPr="007341E4" w:rsidRDefault="007341E4" w:rsidP="007341E4">
      <w:pPr>
        <w:spacing w:after="0"/>
        <w:rPr>
          <w:rFonts w:ascii="Calibri" w:hAnsi="Calibri" w:cs="Calibri"/>
          <w:b/>
          <w:bCs/>
          <w:sz w:val="23"/>
          <w:szCs w:val="23"/>
        </w:rPr>
      </w:pPr>
      <w:r w:rsidRPr="007341E4">
        <w:rPr>
          <w:rFonts w:ascii="Calibri" w:hAnsi="Calibri" w:cs="Calibri"/>
          <w:b/>
          <w:bCs/>
          <w:sz w:val="23"/>
          <w:szCs w:val="23"/>
        </w:rPr>
        <w:t>Ufficio stampa Fondazione Brescia Musei</w:t>
      </w:r>
    </w:p>
    <w:p w14:paraId="3504D5C3" w14:textId="2ED04EE9" w:rsidR="007341E4" w:rsidRPr="007341E4" w:rsidRDefault="007341E4" w:rsidP="007341E4">
      <w:pPr>
        <w:spacing w:after="0"/>
        <w:rPr>
          <w:rFonts w:ascii="Calibri" w:hAnsi="Calibri" w:cs="Calibri"/>
          <w:sz w:val="23"/>
          <w:szCs w:val="23"/>
        </w:rPr>
      </w:pPr>
      <w:r w:rsidRPr="007341E4">
        <w:rPr>
          <w:rFonts w:ascii="Calibri" w:hAnsi="Calibri" w:cs="Calibri"/>
          <w:sz w:val="23"/>
          <w:szCs w:val="23"/>
        </w:rPr>
        <w:t>Francesca Raimondi</w:t>
      </w:r>
      <w:r>
        <w:rPr>
          <w:rFonts w:ascii="Calibri" w:hAnsi="Calibri" w:cs="Calibri"/>
          <w:sz w:val="23"/>
          <w:szCs w:val="23"/>
        </w:rPr>
        <w:t xml:space="preserve"> |t</w:t>
      </w:r>
      <w:r w:rsidRPr="007341E4">
        <w:rPr>
          <w:rFonts w:ascii="Calibri" w:hAnsi="Calibri" w:cs="Calibri"/>
          <w:sz w:val="23"/>
          <w:szCs w:val="23"/>
        </w:rPr>
        <w:t>. 331</w:t>
      </w:r>
      <w:r>
        <w:rPr>
          <w:rFonts w:ascii="Calibri" w:hAnsi="Calibri" w:cs="Calibri"/>
          <w:sz w:val="23"/>
          <w:szCs w:val="23"/>
        </w:rPr>
        <w:t xml:space="preserve"> </w:t>
      </w:r>
      <w:r w:rsidRPr="007341E4">
        <w:rPr>
          <w:rFonts w:ascii="Calibri" w:hAnsi="Calibri" w:cs="Calibri"/>
          <w:sz w:val="23"/>
          <w:szCs w:val="23"/>
        </w:rPr>
        <w:t>80</w:t>
      </w:r>
      <w:r>
        <w:rPr>
          <w:rFonts w:ascii="Calibri" w:hAnsi="Calibri" w:cs="Calibri"/>
          <w:sz w:val="23"/>
          <w:szCs w:val="23"/>
        </w:rPr>
        <w:t xml:space="preserve"> </w:t>
      </w:r>
      <w:r w:rsidRPr="007341E4">
        <w:rPr>
          <w:rFonts w:ascii="Calibri" w:hAnsi="Calibri" w:cs="Calibri"/>
          <w:sz w:val="23"/>
          <w:szCs w:val="23"/>
        </w:rPr>
        <w:t>396</w:t>
      </w:r>
      <w:r>
        <w:rPr>
          <w:rFonts w:ascii="Calibri" w:hAnsi="Calibri" w:cs="Calibri"/>
          <w:sz w:val="23"/>
          <w:szCs w:val="23"/>
        </w:rPr>
        <w:t xml:space="preserve"> </w:t>
      </w:r>
      <w:r w:rsidRPr="007341E4">
        <w:rPr>
          <w:rFonts w:ascii="Calibri" w:hAnsi="Calibri" w:cs="Calibri"/>
          <w:sz w:val="23"/>
          <w:szCs w:val="23"/>
        </w:rPr>
        <w:t>11 | raimondi@bresciamusei.com</w:t>
      </w:r>
      <w:r w:rsidRPr="007341E4">
        <w:rPr>
          <w:rFonts w:ascii="Calibri" w:hAnsi="Calibri" w:cs="Calibri"/>
          <w:sz w:val="23"/>
          <w:szCs w:val="23"/>
        </w:rPr>
        <w:tab/>
      </w:r>
    </w:p>
    <w:p w14:paraId="158966DE" w14:textId="77777777" w:rsidR="007341E4" w:rsidRPr="007341E4" w:rsidRDefault="007341E4" w:rsidP="007341E4">
      <w:pPr>
        <w:spacing w:after="0"/>
        <w:rPr>
          <w:rFonts w:ascii="Calibri" w:hAnsi="Calibri" w:cs="Calibri"/>
          <w:sz w:val="18"/>
          <w:szCs w:val="18"/>
        </w:rPr>
      </w:pPr>
    </w:p>
    <w:p w14:paraId="533C21FF" w14:textId="77777777" w:rsidR="007341E4" w:rsidRPr="007341E4" w:rsidRDefault="007341E4" w:rsidP="007341E4">
      <w:pPr>
        <w:spacing w:after="0"/>
        <w:rPr>
          <w:rFonts w:ascii="Calibri" w:hAnsi="Calibri" w:cs="Calibri"/>
          <w:b/>
          <w:bCs/>
          <w:sz w:val="23"/>
          <w:szCs w:val="23"/>
        </w:rPr>
      </w:pPr>
      <w:r w:rsidRPr="007341E4">
        <w:rPr>
          <w:rFonts w:ascii="Calibri" w:hAnsi="Calibri" w:cs="Calibri"/>
          <w:b/>
          <w:bCs/>
          <w:sz w:val="23"/>
          <w:szCs w:val="23"/>
        </w:rPr>
        <w:t>Ufficio stampa Fondazione Brescia Musei</w:t>
      </w:r>
    </w:p>
    <w:p w14:paraId="6688139B" w14:textId="1E85AFA7" w:rsidR="00C17245" w:rsidRPr="00C17245" w:rsidRDefault="007341E4" w:rsidP="007341E4">
      <w:pPr>
        <w:spacing w:after="0"/>
      </w:pPr>
      <w:r w:rsidRPr="007341E4">
        <w:rPr>
          <w:rFonts w:ascii="Calibri" w:hAnsi="Calibri" w:cs="Calibri"/>
          <w:sz w:val="23"/>
          <w:szCs w:val="23"/>
        </w:rPr>
        <w:t>CLP Relazioni Pubbliche</w:t>
      </w:r>
      <w:r>
        <w:rPr>
          <w:rFonts w:ascii="Calibri" w:hAnsi="Calibri" w:cs="Calibri"/>
          <w:sz w:val="23"/>
          <w:szCs w:val="23"/>
        </w:rPr>
        <w:t xml:space="preserve"> | </w:t>
      </w:r>
      <w:r w:rsidRPr="007341E4">
        <w:rPr>
          <w:rFonts w:ascii="Calibri" w:hAnsi="Calibri" w:cs="Calibri"/>
          <w:sz w:val="23"/>
          <w:szCs w:val="23"/>
        </w:rPr>
        <w:t>Clara Cervia</w:t>
      </w:r>
      <w:r>
        <w:rPr>
          <w:rFonts w:ascii="Calibri" w:hAnsi="Calibri" w:cs="Calibri"/>
          <w:sz w:val="23"/>
          <w:szCs w:val="23"/>
        </w:rPr>
        <w:t xml:space="preserve"> | t</w:t>
      </w:r>
      <w:r w:rsidRPr="007341E4">
        <w:rPr>
          <w:rFonts w:ascii="Calibri" w:hAnsi="Calibri" w:cs="Calibri"/>
          <w:sz w:val="23"/>
          <w:szCs w:val="23"/>
        </w:rPr>
        <w:t>. 02</w:t>
      </w:r>
      <w:r>
        <w:rPr>
          <w:rFonts w:ascii="Calibri" w:hAnsi="Calibri" w:cs="Calibri"/>
          <w:sz w:val="23"/>
          <w:szCs w:val="23"/>
        </w:rPr>
        <w:t xml:space="preserve"> </w:t>
      </w:r>
      <w:r w:rsidRPr="007341E4">
        <w:rPr>
          <w:rFonts w:ascii="Calibri" w:hAnsi="Calibri" w:cs="Calibri"/>
          <w:sz w:val="23"/>
          <w:szCs w:val="23"/>
        </w:rPr>
        <w:t>36</w:t>
      </w:r>
      <w:r>
        <w:rPr>
          <w:rFonts w:ascii="Calibri" w:hAnsi="Calibri" w:cs="Calibri"/>
          <w:sz w:val="23"/>
          <w:szCs w:val="23"/>
        </w:rPr>
        <w:t xml:space="preserve"> </w:t>
      </w:r>
      <w:r w:rsidRPr="007341E4">
        <w:rPr>
          <w:rFonts w:ascii="Calibri" w:hAnsi="Calibri" w:cs="Calibri"/>
          <w:sz w:val="23"/>
          <w:szCs w:val="23"/>
        </w:rPr>
        <w:t>755 700 | clara.cervia@clp1968.it</w:t>
      </w:r>
    </w:p>
    <w:sectPr w:rsidR="00C17245" w:rsidRPr="00C1724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FAB91" w14:textId="77777777" w:rsidR="001C4950" w:rsidRDefault="001C4950" w:rsidP="00C17245">
      <w:pPr>
        <w:spacing w:after="0" w:line="240" w:lineRule="auto"/>
      </w:pPr>
      <w:r>
        <w:separator/>
      </w:r>
    </w:p>
  </w:endnote>
  <w:endnote w:type="continuationSeparator" w:id="0">
    <w:p w14:paraId="59044FC1" w14:textId="77777777" w:rsidR="001C4950" w:rsidRDefault="001C4950" w:rsidP="00C1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E6D98" w14:textId="021830CE" w:rsidR="00C17245" w:rsidRDefault="00C17245">
    <w:pPr>
      <w:pStyle w:val="Pidipagina"/>
    </w:pPr>
    <w:r>
      <w:rPr>
        <w:noProof/>
      </w:rPr>
      <w:drawing>
        <wp:anchor distT="0" distB="0" distL="114300" distR="114300" simplePos="0" relativeHeight="251658240" behindDoc="0" locked="0" layoutInCell="1" allowOverlap="1" wp14:anchorId="41AF458C" wp14:editId="2E9C9D8C">
          <wp:simplePos x="0" y="0"/>
          <wp:positionH relativeFrom="column">
            <wp:posOffset>89882</wp:posOffset>
          </wp:positionH>
          <wp:positionV relativeFrom="paragraph">
            <wp:posOffset>-150495</wp:posOffset>
          </wp:positionV>
          <wp:extent cx="6118860" cy="750570"/>
          <wp:effectExtent l="0" t="0" r="0" b="0"/>
          <wp:wrapNone/>
          <wp:docPr id="37864689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46891" name="Immagine 378646891"/>
                  <pic:cNvPicPr/>
                </pic:nvPicPr>
                <pic:blipFill rotWithShape="1">
                  <a:blip r:embed="rId1">
                    <a:extLst>
                      <a:ext uri="{28A0092B-C50C-407E-A947-70E740481C1C}">
                        <a14:useLocalDpi xmlns:a14="http://schemas.microsoft.com/office/drawing/2010/main" val="0"/>
                      </a:ext>
                    </a:extLst>
                  </a:blip>
                  <a:srcRect t="36367" b="41809"/>
                  <a:stretch/>
                </pic:blipFill>
                <pic:spPr bwMode="auto">
                  <a:xfrm>
                    <a:off x="0" y="0"/>
                    <a:ext cx="6118860" cy="75057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B7546" w14:textId="77777777" w:rsidR="001C4950" w:rsidRDefault="001C4950" w:rsidP="00C17245">
      <w:pPr>
        <w:spacing w:after="0" w:line="240" w:lineRule="auto"/>
      </w:pPr>
      <w:r>
        <w:separator/>
      </w:r>
    </w:p>
  </w:footnote>
  <w:footnote w:type="continuationSeparator" w:id="0">
    <w:p w14:paraId="4F1DAD36" w14:textId="77777777" w:rsidR="001C4950" w:rsidRDefault="001C4950" w:rsidP="00C17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157C" w14:textId="6D4E6336" w:rsidR="00C17245" w:rsidRDefault="00C17245">
    <w:pPr>
      <w:pStyle w:val="Intestazione"/>
    </w:pPr>
    <w:r>
      <w:rPr>
        <w:noProof/>
      </w:rPr>
      <w:drawing>
        <wp:anchor distT="0" distB="0" distL="114300" distR="114300" simplePos="0" relativeHeight="251659264" behindDoc="0" locked="0" layoutInCell="1" allowOverlap="1" wp14:anchorId="40EE7C1B" wp14:editId="5070375B">
          <wp:simplePos x="0" y="0"/>
          <wp:positionH relativeFrom="column">
            <wp:posOffset>-215265</wp:posOffset>
          </wp:positionH>
          <wp:positionV relativeFrom="paragraph">
            <wp:posOffset>-89766</wp:posOffset>
          </wp:positionV>
          <wp:extent cx="1726565" cy="346075"/>
          <wp:effectExtent l="0" t="0" r="6985" b="0"/>
          <wp:wrapThrough wrapText="bothSides">
            <wp:wrapPolygon edited="0">
              <wp:start x="0" y="0"/>
              <wp:lineTo x="0" y="20213"/>
              <wp:lineTo x="20019" y="20213"/>
              <wp:lineTo x="20019" y="19024"/>
              <wp:lineTo x="21449" y="14268"/>
              <wp:lineTo x="21449" y="0"/>
              <wp:lineTo x="0" y="0"/>
            </wp:wrapPolygon>
          </wp:wrapThrough>
          <wp:docPr id="70509772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6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F679092" wp14:editId="3299FAEB">
          <wp:simplePos x="0" y="0"/>
          <wp:positionH relativeFrom="column">
            <wp:posOffset>4694959</wp:posOffset>
          </wp:positionH>
          <wp:positionV relativeFrom="paragraph">
            <wp:posOffset>-189981</wp:posOffset>
          </wp:positionV>
          <wp:extent cx="1513205" cy="571500"/>
          <wp:effectExtent l="0" t="0" r="0" b="0"/>
          <wp:wrapThrough wrapText="bothSides">
            <wp:wrapPolygon edited="0">
              <wp:start x="0" y="720"/>
              <wp:lineTo x="0" y="7920"/>
              <wp:lineTo x="2991" y="13680"/>
              <wp:lineTo x="5982" y="13680"/>
              <wp:lineTo x="5982" y="20880"/>
              <wp:lineTo x="13324" y="20880"/>
              <wp:lineTo x="13596" y="19440"/>
              <wp:lineTo x="21210" y="13680"/>
              <wp:lineTo x="21210" y="8640"/>
              <wp:lineTo x="20666" y="7200"/>
              <wp:lineTo x="13324" y="720"/>
              <wp:lineTo x="0" y="720"/>
            </wp:wrapPolygon>
          </wp:wrapThrough>
          <wp:docPr id="121534587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45879" name="Immagine 1215345879"/>
                  <pic:cNvPicPr/>
                </pic:nvPicPr>
                <pic:blipFill>
                  <a:blip r:embed="rId2">
                    <a:extLst>
                      <a:ext uri="{28A0092B-C50C-407E-A947-70E740481C1C}">
                        <a14:useLocalDpi xmlns:a14="http://schemas.microsoft.com/office/drawing/2010/main" val="0"/>
                      </a:ext>
                    </a:extLst>
                  </a:blip>
                  <a:stretch>
                    <a:fillRect/>
                  </a:stretch>
                </pic:blipFill>
                <pic:spPr>
                  <a:xfrm>
                    <a:off x="0" y="0"/>
                    <a:ext cx="1513205" cy="571500"/>
                  </a:xfrm>
                  <a:prstGeom prst="rect">
                    <a:avLst/>
                  </a:prstGeom>
                </pic:spPr>
              </pic:pic>
            </a:graphicData>
          </a:graphic>
        </wp:anchor>
      </w:drawing>
    </w:r>
    <w:r>
      <w:rPr>
        <w:noProof/>
      </w:rPr>
      <w:drawing>
        <wp:anchor distT="0" distB="0" distL="114300" distR="114300" simplePos="0" relativeHeight="251660288" behindDoc="0" locked="0" layoutInCell="1" allowOverlap="1" wp14:anchorId="6C066C53" wp14:editId="4FC96519">
          <wp:simplePos x="0" y="0"/>
          <wp:positionH relativeFrom="column">
            <wp:posOffset>2209800</wp:posOffset>
          </wp:positionH>
          <wp:positionV relativeFrom="paragraph">
            <wp:posOffset>-193675</wp:posOffset>
          </wp:positionV>
          <wp:extent cx="1765300" cy="636905"/>
          <wp:effectExtent l="0" t="0" r="0" b="0"/>
          <wp:wrapThrough wrapText="bothSides">
            <wp:wrapPolygon edited="0">
              <wp:start x="4662" y="0"/>
              <wp:lineTo x="3496" y="1938"/>
              <wp:lineTo x="2797" y="6461"/>
              <wp:lineTo x="2797" y="20674"/>
              <wp:lineTo x="7459" y="20674"/>
              <wp:lineTo x="14452" y="19382"/>
              <wp:lineTo x="18881" y="16152"/>
              <wp:lineTo x="18881" y="5168"/>
              <wp:lineTo x="14685" y="646"/>
              <wp:lineTo x="8858" y="0"/>
              <wp:lineTo x="4662" y="0"/>
            </wp:wrapPolygon>
          </wp:wrapThrough>
          <wp:docPr id="19806572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5725" name="Immagine 198065725"/>
                  <pic:cNvPicPr/>
                </pic:nvPicPr>
                <pic:blipFill rotWithShape="1">
                  <a:blip r:embed="rId3">
                    <a:extLst>
                      <a:ext uri="{28A0092B-C50C-407E-A947-70E740481C1C}">
                        <a14:useLocalDpi xmlns:a14="http://schemas.microsoft.com/office/drawing/2010/main" val="0"/>
                      </a:ext>
                    </a:extLst>
                  </a:blip>
                  <a:srcRect t="16740" b="19080"/>
                  <a:stretch/>
                </pic:blipFill>
                <pic:spPr bwMode="auto">
                  <a:xfrm>
                    <a:off x="0" y="0"/>
                    <a:ext cx="1765300" cy="6369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68"/>
    <w:rsid w:val="00065068"/>
    <w:rsid w:val="001C4950"/>
    <w:rsid w:val="00464BBD"/>
    <w:rsid w:val="0057721B"/>
    <w:rsid w:val="007341E4"/>
    <w:rsid w:val="009431B1"/>
    <w:rsid w:val="0099215D"/>
    <w:rsid w:val="00AA0700"/>
    <w:rsid w:val="00B21A3B"/>
    <w:rsid w:val="00B93883"/>
    <w:rsid w:val="00BE01E4"/>
    <w:rsid w:val="00C172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A1138"/>
  <w15:chartTrackingRefBased/>
  <w15:docId w15:val="{CF0ADFA1-3937-4915-A3DF-E70EE480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650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650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6506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6506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6506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6506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6506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6506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6506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506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6506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6506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6506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6506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6506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6506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6506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65068"/>
    <w:rPr>
      <w:rFonts w:eastAsiaTheme="majorEastAsia" w:cstheme="majorBidi"/>
      <w:color w:val="272727" w:themeColor="text1" w:themeTint="D8"/>
    </w:rPr>
  </w:style>
  <w:style w:type="paragraph" w:styleId="Titolo">
    <w:name w:val="Title"/>
    <w:basedOn w:val="Normale"/>
    <w:next w:val="Normale"/>
    <w:link w:val="TitoloCarattere"/>
    <w:uiPriority w:val="10"/>
    <w:qFormat/>
    <w:rsid w:val="00065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6506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6506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6506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6506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65068"/>
    <w:rPr>
      <w:i/>
      <w:iCs/>
      <w:color w:val="404040" w:themeColor="text1" w:themeTint="BF"/>
    </w:rPr>
  </w:style>
  <w:style w:type="paragraph" w:styleId="Paragrafoelenco">
    <w:name w:val="List Paragraph"/>
    <w:basedOn w:val="Normale"/>
    <w:uiPriority w:val="34"/>
    <w:qFormat/>
    <w:rsid w:val="00065068"/>
    <w:pPr>
      <w:ind w:left="720"/>
      <w:contextualSpacing/>
    </w:pPr>
  </w:style>
  <w:style w:type="character" w:styleId="Enfasiintensa">
    <w:name w:val="Intense Emphasis"/>
    <w:basedOn w:val="Carpredefinitoparagrafo"/>
    <w:uiPriority w:val="21"/>
    <w:qFormat/>
    <w:rsid w:val="00065068"/>
    <w:rPr>
      <w:i/>
      <w:iCs/>
      <w:color w:val="2F5496" w:themeColor="accent1" w:themeShade="BF"/>
    </w:rPr>
  </w:style>
  <w:style w:type="paragraph" w:styleId="Citazioneintensa">
    <w:name w:val="Intense Quote"/>
    <w:basedOn w:val="Normale"/>
    <w:next w:val="Normale"/>
    <w:link w:val="CitazioneintensaCarattere"/>
    <w:uiPriority w:val="30"/>
    <w:qFormat/>
    <w:rsid w:val="00065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65068"/>
    <w:rPr>
      <w:i/>
      <w:iCs/>
      <w:color w:val="2F5496" w:themeColor="accent1" w:themeShade="BF"/>
    </w:rPr>
  </w:style>
  <w:style w:type="character" w:styleId="Riferimentointenso">
    <w:name w:val="Intense Reference"/>
    <w:basedOn w:val="Carpredefinitoparagrafo"/>
    <w:uiPriority w:val="32"/>
    <w:qFormat/>
    <w:rsid w:val="00065068"/>
    <w:rPr>
      <w:b/>
      <w:bCs/>
      <w:smallCaps/>
      <w:color w:val="2F5496" w:themeColor="accent1" w:themeShade="BF"/>
      <w:spacing w:val="5"/>
    </w:rPr>
  </w:style>
  <w:style w:type="paragraph" w:styleId="Intestazione">
    <w:name w:val="header"/>
    <w:basedOn w:val="Normale"/>
    <w:link w:val="IntestazioneCarattere"/>
    <w:uiPriority w:val="99"/>
    <w:unhideWhenUsed/>
    <w:rsid w:val="00C172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7245"/>
  </w:style>
  <w:style w:type="paragraph" w:styleId="Pidipagina">
    <w:name w:val="footer"/>
    <w:basedOn w:val="Normale"/>
    <w:link w:val="PidipaginaCarattere"/>
    <w:uiPriority w:val="99"/>
    <w:unhideWhenUsed/>
    <w:rsid w:val="00C172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7245"/>
  </w:style>
  <w:style w:type="character" w:styleId="Collegamentoipertestuale">
    <w:name w:val="Hyperlink"/>
    <w:basedOn w:val="Carpredefinitoparagrafo"/>
    <w:uiPriority w:val="99"/>
    <w:unhideWhenUsed/>
    <w:rsid w:val="007341E4"/>
    <w:rPr>
      <w:color w:val="467886"/>
      <w:u w:val="single"/>
    </w:rPr>
  </w:style>
  <w:style w:type="paragraph" w:styleId="NormaleWeb">
    <w:name w:val="Normal (Web)"/>
    <w:basedOn w:val="Normale"/>
    <w:uiPriority w:val="99"/>
    <w:unhideWhenUsed/>
    <w:rsid w:val="007341E4"/>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eangelispress.com"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3F06DD-C3A1-44A4-98DC-4EEABD4100E2}"/>
</file>

<file path=customXml/itemProps2.xml><?xml version="1.0" encoding="utf-8"?>
<ds:datastoreItem xmlns:ds="http://schemas.openxmlformats.org/officeDocument/2006/customXml" ds:itemID="{FF44C3C8-2275-42FD-A605-FAB53B4ED572}"/>
</file>

<file path=customXml/itemProps3.xml><?xml version="1.0" encoding="utf-8"?>
<ds:datastoreItem xmlns:ds="http://schemas.openxmlformats.org/officeDocument/2006/customXml" ds:itemID="{5E87D327-AD9B-4E71-87D9-A357B39ECBA2}"/>
</file>

<file path=docProps/app.xml><?xml version="1.0" encoding="utf-8"?>
<Properties xmlns="http://schemas.openxmlformats.org/officeDocument/2006/extended-properties" xmlns:vt="http://schemas.openxmlformats.org/officeDocument/2006/docPropsVTypes">
  <Template>Normal</Template>
  <TotalTime>98</TotalTime>
  <Pages>2</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 Nobili</dc:creator>
  <cp:keywords/>
  <dc:description/>
  <cp:lastModifiedBy>stefano de angelis</cp:lastModifiedBy>
  <cp:revision>5</cp:revision>
  <cp:lastPrinted>2025-03-17T10:59:00Z</cp:lastPrinted>
  <dcterms:created xsi:type="dcterms:W3CDTF">2025-03-13T09:55:00Z</dcterms:created>
  <dcterms:modified xsi:type="dcterms:W3CDTF">2025-03-17T15:07:00Z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