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BB0E385" w14:textId="77777777" w:rsidR="006C3B1C" w:rsidRDefault="006C3B1C" w:rsidP="00785AAD">
      <w:pPr>
        <w:rPr>
          <w:rFonts w:asciiTheme="minorHAnsi" w:hAnsiTheme="minorHAnsi" w:cstheme="minorHAnsi"/>
          <w:b/>
          <w:bCs/>
          <w:sz w:val="28"/>
          <w:szCs w:val="28"/>
        </w:rPr>
      </w:pPr>
    </w:p>
    <w:p w14:paraId="59D9B32C" w14:textId="67C729B7" w:rsidR="001751C5" w:rsidRPr="001751C5" w:rsidRDefault="001751C5" w:rsidP="001751C5">
      <w:pPr>
        <w:rPr>
          <w:rFonts w:asciiTheme="minorHAnsi" w:hAnsiTheme="minorHAnsi" w:cstheme="minorHAnsi"/>
          <w:b/>
          <w:bCs/>
          <w:sz w:val="28"/>
          <w:szCs w:val="28"/>
        </w:rPr>
      </w:pPr>
      <w:r w:rsidRPr="001751C5">
        <w:rPr>
          <w:rFonts w:asciiTheme="minorHAnsi" w:hAnsiTheme="minorHAnsi" w:cstheme="minorHAnsi"/>
          <w:b/>
          <w:bCs/>
          <w:sz w:val="28"/>
          <w:szCs w:val="28"/>
        </w:rPr>
        <w:t xml:space="preserve">Prefetto </w:t>
      </w:r>
      <w:r w:rsidRPr="001751C5">
        <w:rPr>
          <w:rFonts w:asciiTheme="minorHAnsi" w:hAnsiTheme="minorHAnsi" w:cstheme="minorHAnsi"/>
          <w:b/>
          <w:bCs/>
          <w:sz w:val="28"/>
          <w:szCs w:val="28"/>
        </w:rPr>
        <w:t>MARIA ROSARIA LAGANÀ</w:t>
      </w:r>
    </w:p>
    <w:p w14:paraId="5F36565C" w14:textId="0FBB821E" w:rsidR="00095415" w:rsidRDefault="001751C5" w:rsidP="001751C5">
      <w:pPr>
        <w:rPr>
          <w:rFonts w:asciiTheme="minorHAnsi" w:hAnsiTheme="minorHAnsi" w:cstheme="minorHAnsi"/>
          <w:sz w:val="28"/>
          <w:szCs w:val="28"/>
        </w:rPr>
      </w:pPr>
      <w:r w:rsidRPr="001751C5">
        <w:rPr>
          <w:rFonts w:asciiTheme="minorHAnsi" w:hAnsiTheme="minorHAnsi" w:cstheme="minorHAnsi"/>
          <w:b/>
          <w:bCs/>
          <w:sz w:val="28"/>
          <w:szCs w:val="28"/>
        </w:rPr>
        <w:t>Direttore ANBSC</w:t>
      </w:r>
    </w:p>
    <w:p w14:paraId="5C89CFC2" w14:textId="77777777" w:rsidR="006C3B1C" w:rsidRPr="001751C5" w:rsidRDefault="006C3B1C" w:rsidP="00095415">
      <w:pPr>
        <w:rPr>
          <w:rFonts w:asciiTheme="minorHAnsi" w:hAnsiTheme="minorHAnsi" w:cstheme="minorHAnsi"/>
        </w:rPr>
      </w:pPr>
    </w:p>
    <w:p w14:paraId="21716B99" w14:textId="4455E2F7" w:rsidR="001751C5" w:rsidRPr="001751C5" w:rsidRDefault="001751C5" w:rsidP="00626FBA">
      <w:pPr>
        <w:ind w:left="3686"/>
        <w:jc w:val="right"/>
        <w:rPr>
          <w:rFonts w:asciiTheme="minorHAnsi" w:hAnsiTheme="minorHAnsi" w:cstheme="minorHAnsi"/>
          <w:sz w:val="20"/>
          <w:szCs w:val="20"/>
        </w:rPr>
      </w:pPr>
      <w:r w:rsidRPr="001751C5">
        <w:rPr>
          <w:rFonts w:asciiTheme="minorHAnsi" w:hAnsiTheme="minorHAnsi" w:cstheme="minorHAnsi"/>
          <w:sz w:val="20"/>
          <w:szCs w:val="20"/>
        </w:rPr>
        <w:t>“La lotta alla mafia dev’essere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innanzitutto un movimento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culturale che abitui tutti a sentire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la bellezza del fresco profumo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della libertà che si oppone al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puzzo del compromesso morale,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dell’indifferenza, della contiguità</w:t>
      </w:r>
      <w:r w:rsidRPr="001751C5">
        <w:rPr>
          <w:rFonts w:asciiTheme="minorHAnsi" w:hAnsiTheme="minorHAnsi" w:cstheme="minorHAnsi"/>
          <w:sz w:val="20"/>
          <w:szCs w:val="20"/>
        </w:rPr>
        <w:t xml:space="preserve"> </w:t>
      </w:r>
      <w:r w:rsidRPr="001751C5">
        <w:rPr>
          <w:rFonts w:asciiTheme="minorHAnsi" w:hAnsiTheme="minorHAnsi" w:cstheme="minorHAnsi"/>
          <w:sz w:val="20"/>
          <w:szCs w:val="20"/>
        </w:rPr>
        <w:t>e quindi della complicità”</w:t>
      </w:r>
      <w:r w:rsidRPr="001751C5">
        <w:rPr>
          <w:rFonts w:asciiTheme="minorHAnsi" w:hAnsiTheme="minorHAnsi" w:cstheme="minorHAnsi"/>
          <w:sz w:val="20"/>
          <w:szCs w:val="20"/>
        </w:rPr>
        <w:t>.</w:t>
      </w:r>
    </w:p>
    <w:p w14:paraId="0EF95802" w14:textId="17398AB3" w:rsidR="001751C5" w:rsidRPr="001751C5" w:rsidRDefault="001751C5" w:rsidP="001751C5">
      <w:pPr>
        <w:ind w:left="4536"/>
        <w:jc w:val="right"/>
        <w:rPr>
          <w:rFonts w:asciiTheme="minorHAnsi" w:hAnsiTheme="minorHAnsi" w:cstheme="minorHAnsi"/>
          <w:i/>
          <w:iCs/>
          <w:sz w:val="20"/>
          <w:szCs w:val="20"/>
        </w:rPr>
      </w:pPr>
      <w:r w:rsidRPr="001751C5">
        <w:rPr>
          <w:rFonts w:asciiTheme="minorHAnsi" w:hAnsiTheme="minorHAnsi" w:cstheme="minorHAnsi"/>
          <w:i/>
          <w:iCs/>
          <w:sz w:val="20"/>
          <w:szCs w:val="20"/>
        </w:rPr>
        <w:t>Paolo Borsellino</w:t>
      </w:r>
    </w:p>
    <w:p w14:paraId="5C3E180E" w14:textId="77777777" w:rsidR="001751C5" w:rsidRDefault="001751C5" w:rsidP="00095415">
      <w:pPr>
        <w:rPr>
          <w:rFonts w:asciiTheme="minorHAnsi" w:hAnsiTheme="minorHAnsi" w:cstheme="minorHAnsi"/>
        </w:rPr>
      </w:pPr>
    </w:p>
    <w:p w14:paraId="57F71ED9" w14:textId="4E7CE621" w:rsidR="001751C5" w:rsidRPr="001751C5" w:rsidRDefault="001751C5" w:rsidP="00095415">
      <w:pPr>
        <w:rPr>
          <w:rFonts w:asciiTheme="minorHAnsi" w:hAnsiTheme="minorHAnsi" w:cstheme="minorHAnsi"/>
          <w:b/>
          <w:bCs/>
          <w:i/>
          <w:iCs/>
        </w:rPr>
      </w:pPr>
      <w:r w:rsidRPr="001751C5">
        <w:rPr>
          <w:rFonts w:asciiTheme="minorHAnsi" w:hAnsiTheme="minorHAnsi" w:cstheme="minorHAnsi"/>
          <w:b/>
          <w:bCs/>
          <w:i/>
          <w:iCs/>
        </w:rPr>
        <w:t>Arte liberata</w:t>
      </w:r>
    </w:p>
    <w:p w14:paraId="06EE514F" w14:textId="77777777" w:rsidR="001751C5" w:rsidRPr="001751C5" w:rsidRDefault="001751C5" w:rsidP="00095415">
      <w:pPr>
        <w:rPr>
          <w:rFonts w:asciiTheme="minorHAnsi" w:hAnsiTheme="minorHAnsi" w:cstheme="minorHAnsi"/>
          <w:i/>
          <w:iCs/>
        </w:rPr>
      </w:pPr>
    </w:p>
    <w:p w14:paraId="1705C28F" w14:textId="65483E16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restituzione alla visione pubblica delle ottantatré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opere confiscate dall’autorità giudiziaria a esponenti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spicco della criminalità organizzata rappresenta una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fondamentale tappa del percorso di contrasto al fenomeno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mafioso.</w:t>
      </w:r>
    </w:p>
    <w:p w14:paraId="4ACB122B" w14:textId="523F9F8C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Le suggestioni evocate dalle originali espressioni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creative in esposizione sollecitano l’attenzione dei visitatori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sulla straordinaria rilevanza dell’attività di contrasto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all’illecito accumulo di patrimoni da parte delle organizzazioni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criminali.</w:t>
      </w:r>
    </w:p>
    <w:p w14:paraId="76CF1226" w14:textId="61064557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Il pregio artistico e il valore culturale delle opere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rassegna accentuano il significato e il valore etico della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riappropriazione al patrimonio collettivo e condiviso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beni accumulati quali proventi di attività illecite.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tale prospettiva sembra corretto qualificare, in termini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“arte liberata”, il patrimonio di beni culturali sottratti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 controllo e all’uso esclusivo della criminalità organizzata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per essere restituiti alla fruizione inclusiva, libera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pubblica.</w:t>
      </w:r>
    </w:p>
    <w:p w14:paraId="668823DC" w14:textId="3BB0537F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creatività e la bellezza dell’arte “liberata” dalle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mani criminali vengono proposte alla visione collettiva per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promuovere la cultura, stimolando nel contempo maggiore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consapevolezza sull’insidiosità del flagello mafioso e favorendo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il senso di responsabilità individuale e comune.</w:t>
      </w:r>
    </w:p>
    <w:p w14:paraId="45227A7D" w14:textId="189D65B2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possibilità di contemplare autentiche espressioni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artistiche offre evidenza del coraggio e delle capacità messe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campo per recuperare le opere nonché testimonia 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determinazione quotidiana delle istituzioni nell’aggredire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le mafie e recuperare il patrimonio culturale a beneficio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comunità.</w:t>
      </w:r>
    </w:p>
    <w:p w14:paraId="533D74EB" w14:textId="74216C37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Il valore simbolico dell’iniziativa è dunque dirompente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ai fini dell’affermazione dei principi di legalità, rappresentando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un’occasione straordinaria per sensibilizzare le coscienze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ed educare la cittadinanza sui temi della lotta alla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criminalità organizzata e dell’importanza della salvaguardia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 patrimonio culturale, contribuendo in maniera significativa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 quel consenso sociale indispensabile per il rafforzamento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dell’azione dello Stato di contrasto alle mafie.</w:t>
      </w:r>
    </w:p>
    <w:p w14:paraId="35AB317E" w14:textId="5D92A03B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lotta alle forme di criminalità ritenute più insidiose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allarmanti, in particolare quelle di stampo mafioso – 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cui presenza pervasiva sul territorio nazionale ha radici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profonde, minacciando i valori della sicurezza, della libertà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della dignità umana, alterando lo sviluppo sociale ed economico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–, costituisce un impegno prioritario per lo Stato 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sollecita la sinergia con la società civile.</w:t>
      </w:r>
    </w:p>
    <w:p w14:paraId="69BFB745" w14:textId="670346CA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Le smisurate ricchezze che le associazioni criminali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tipo mafioso ricavano dalle attività illecite attribuiscono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loro un potere la cui esistenza mette in discussione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la supremazia del diritto nello Stato. Di qui l’esigenza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adottare strumenti investigativi e attuare misure personali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patrimoniali per combattere questo potere economico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 xml:space="preserve">e contrastare </w:t>
      </w:r>
      <w:r w:rsidRPr="001751C5">
        <w:rPr>
          <w:rFonts w:asciiTheme="minorHAnsi" w:hAnsiTheme="minorHAnsi" w:cstheme="minorHAnsi"/>
          <w:sz w:val="22"/>
          <w:szCs w:val="22"/>
        </w:rPr>
        <w:lastRenderedPageBreak/>
        <w:t>efficacemente tali associazioni.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Come è noto, uno dei più potenti strumenti di lotta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alle mafie è rappresentato dalle misure ablative dei patrimoni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illecitamente accumulati.</w:t>
      </w:r>
    </w:p>
    <w:p w14:paraId="44EAECF9" w14:textId="64C94CE7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Il sistema giuridico italiano in materia di confische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– valutato conforme, legittimo e non sproporzionato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anche dalla giurisprudenza della Corte Europea dei Diritti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dell’Uomo, in ragione della finalità perseguita di prevenzione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dei reati nei confronti di soggetti socialmente pericolosi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– costituisce uno dei modelli più avanzati e incisivi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nel panorama internazionale, cui nel tempo si sono ispirati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gli altri ordinamenti.</w:t>
      </w:r>
    </w:p>
    <w:p w14:paraId="37091113" w14:textId="4224B812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L’assetto giuridico-normativo persegue una triplice</w:t>
      </w:r>
      <w:r w:rsidR="00C56585"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funzione: da un lato, mira a privare gli autori del reato e 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soggetti indiziati di fare parte di organizzazioni criminali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dei profitti o dei vantaggi economici ottenuti illegalmente;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dall’altro, impedisce il reinvestimento dei proventi illegali,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troncando il ciclo criminale che si basa sull’accumulo e sul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riciclaggio di denaro; infine, consente il ristoro delle collettività,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colpite dalla piaga criminale, attraverso la destinazione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dei beni per finalità istituzionali e/o sociali.</w:t>
      </w:r>
    </w:p>
    <w:p w14:paraId="377A802E" w14:textId="4790C2F0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Una radicale innovazione della misura delle confische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– già prevista dal codice penale e potenziata dalla legge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31 maggio 1965, n. 575 – è stata impressa dalla cosiddetta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legge Rognoni-La Torre (legge 13 settembre 1982, n. 646),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emanata a seguito degli efferati omicidi del generale Dalla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Chiesa e dell’onorevole Pio La Torre. Tali disposizioni sono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state modificate con successive leggi speciali – in particolare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seguito alle stragi di mafia del 1992 – che ne hanno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profondamente ampliato l’ambito di applicazione. Il variegato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sistema ha sollecitato un intervento di sistematizzazione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che ha condotto all’emanazione del Codice delle leggi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antimafia e delle misure di prevenzione, adottato con decreto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legislativo 6 settembre 2011, n. 159.</w:t>
      </w:r>
    </w:p>
    <w:p w14:paraId="12B35E69" w14:textId="5EBA7FBC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In estrema sintesi e ampiamente semplificando, 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confisca penale è disposta dal giudice nell’ambito di un giudizio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penale ed è applicata ai beni direttamente derivanti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dall’attività illecita (il cosiddetto “prodotto” del reato) e ai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beni che rappresentano i vantaggi economici ottenuti (il cosiddetto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“profitto” del reato). La confisca di prevenzione, intesa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come misura ablativa patrimoniale, è disposta anche in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assenza di una condanna penale. Tale misura non presuppone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l’accertamento di una responsabilità penale, applicandosi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anche nei confronti di soggetti sospettati di avere legami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 attività illecite o con la criminalità organizzata.</w:t>
      </w:r>
    </w:p>
    <w:p w14:paraId="570268D5" w14:textId="6CB1AFC0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peculiare visione che caratterizza il sistema normativo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italiano orienta al riuso sociale dei compendi confiscati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e, solo in ipotesi residuali, legate alla comprovata impossibilità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assegnazione, alla loro vendita.</w:t>
      </w:r>
    </w:p>
    <w:p w14:paraId="75B2F4F8" w14:textId="27D18C24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finalità perseguita è dunque la massima valorizzazione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dei patrimoni sottratti alla criminalità organizzata,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attraverso il loro riutilizzo sociale e istituzionale, in una logica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inclusiva che tende a definire una rete di alleanze tra 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diversi attori del sistema di governance dei beni confiscati.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tale direzione, l’Agenzia Nazionale per l’amministrazione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la destinazione dei beni sequestrati e confiscati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alla criminalità organizzata (ANBSC) – ente con personalità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giuridica di diritto pubblico, vigilato dal Ministro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dell’Interno, istituito con decreto-legge 4 febbraio 2010,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n. 4, convertito in legge 31 marzo 2010, n. 50 – svolge la fondamentale funzione di gestire i compendi definitivamente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confiscati, costituiti da immobili, aziende, beni mobili, anche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registrati, definendo tutti gli interventi volti a evitarne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il deterioramento, al fine di favorire nella maniera più ampia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la valorizzazione dei patrimoni e permettere alle comunità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colpite dal fenomeno mafioso di riappropriarsi delle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risorse sottratte illecitamente alla collettività, mettendole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 servizio della cittadinanza attiva, delle istituzioni e del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bene comune.</w:t>
      </w:r>
    </w:p>
    <w:p w14:paraId="4CA1259B" w14:textId="1909110D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lastRenderedPageBreak/>
        <w:t>All’ANBSC è attribuito altresì un ruolo di supporto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all’autorità giudiziaria nell’amministrazione dei beni, anche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per facilitarne l’assegnazione provvisoria nella fase cosiddetta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“giudiziaria”, dal sequestro alla confisca di secondo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grado.</w:t>
      </w:r>
    </w:p>
    <w:p w14:paraId="13D79733" w14:textId="30078735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L’azione di destinazione è svolta non solo sollecitando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la rilevazione dell’interesse degli enti territoriali o dell’Agenzia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 Demanio per le esigenze istituzionali delle amministrazioni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statali, ma anche incentivando il protagonismo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degli enti del terzo settore, nel rispetto dei principi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trasparenza, adeguata pubblicità, parità di trattamento,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non discriminazione, riconoscimento reciproco e proporzionalità,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 fine di sviluppare un modello socialmente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responsabile, in grado di conciliare il riuso dei beni confiscati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 il raggiungimento di finalità sociali, in attuazione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 principio di sussidiarietà costituzionalmente garantito.</w:t>
      </w:r>
    </w:p>
    <w:p w14:paraId="7BADE062" w14:textId="63108AF3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 xml:space="preserve">L’azione </w:t>
      </w:r>
      <w:proofErr w:type="spellStart"/>
      <w:r w:rsidRPr="001751C5">
        <w:rPr>
          <w:rFonts w:asciiTheme="minorHAnsi" w:hAnsiTheme="minorHAnsi" w:cstheme="minorHAnsi"/>
          <w:sz w:val="22"/>
          <w:szCs w:val="22"/>
        </w:rPr>
        <w:t>destinatoria</w:t>
      </w:r>
      <w:proofErr w:type="spellEnd"/>
      <w:r w:rsidRPr="001751C5">
        <w:rPr>
          <w:rFonts w:asciiTheme="minorHAnsi" w:hAnsiTheme="minorHAnsi" w:cstheme="minorHAnsi"/>
          <w:sz w:val="22"/>
          <w:szCs w:val="22"/>
        </w:rPr>
        <w:t xml:space="preserve"> dell’Agenzia si è potenziata e affinata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nel tempo, modulando linee guida per la destinazione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dei beni immobili e dei beni mobili registrati e strategie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coinvolgimento di diversi attori istituzionali, finalizzate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 una più efficace valorizzazione di tutte le tipologie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beni in gestione.</w:t>
      </w:r>
    </w:p>
    <w:p w14:paraId="1DDAFE01" w14:textId="0D397347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Con riferimento alle aziende, al fine di poter reimmettere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nel circuito economico legale le realtà in grado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operare sul mercato, l’attività si è concentrata sull’analisi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possibili interventi atti a favorire la continuazione dell’attività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aziendale e salvaguardare i livelli occupazionali.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Quanto agli arredi, gioielli, orologi e opere d’arte,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recente, grazie anche al potenziamento e alla riorganizzazione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delle strutture operative dell’Agenzia, sono in corso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attività di approfondita ricognizione.</w:t>
      </w:r>
    </w:p>
    <w:p w14:paraId="45CCF011" w14:textId="61FCC0E1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L’ultimo biennio è stato caratterizzato, in particolare,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 una significativa e proficua attenzione al patrimonio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confiscato di valore culturale, nel convincimento dell’altissimo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valore simbolico della restituzione alla collettività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beni artistici illecitamente accumulati.</w:t>
      </w:r>
    </w:p>
    <w:p w14:paraId="6E84A7E7" w14:textId="3438A65F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In tale direzione è stato dato impulso alle azioni previste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dalla convenzione stipulata tra l’ANBSC e il Ministero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delle Cultura per l’avvio e per la definizione delle attività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verifica dell’autenticità, di attribuzione del valore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economico per le opere non ritenute di interesse culturale,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nonché di assegnazione agli istituti ministeriali delle opere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ritenute di interesse per le collezioni statali, tramite preventiva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manifestazione d’interesse. Allo stesso tempo sono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state intraprese proficue azioni sinergiche con altri attori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istituzionali per la fruizione delle opere d’arte confiscate,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allo scopo di favorire il senso di appartenenza al patrimonio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collettivo dei beni in argomento e alimentare gli anticorpi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necessari per l’educazione alla legalità.</w:t>
      </w:r>
    </w:p>
    <w:p w14:paraId="212C9CCE" w14:textId="4566953D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In tale direzione si sviluppa la presente iniziativa, di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rilevante significato, svolta insieme alla Direzione generale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Musei del Ministero della Cultura, al Palazzo Reale del Comune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Milano e al Palazzo della Cultura “Pasquino Crupi”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Città Metropolitana di Reggio Calabria.</w:t>
      </w:r>
    </w:p>
    <w:p w14:paraId="1922499F" w14:textId="6F379241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Le ottantatré opere d’interesse culturale selezionate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per la mostra risultano definitivamente confiscate nell’ambito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due distinte procedure di confisca.</w:t>
      </w:r>
    </w:p>
    <w:p w14:paraId="4661E7BF" w14:textId="0155DFD3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Sessantuno – esposte per la prima volta al pubblico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dopo la loro definitiva ablazione – sono state confiscate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 una sentenza del Tribunale di Roma del 2013, divenuta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irrevocabile con sentenza della Corte di Cassazione nel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2018, nell’ambito di un procedimento penale, scaturito da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due indagini incrociate, svolte dal ROS dei Carabinieri 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dal Nucleo di Polizia Valutaria della Guardia di Finanza, su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una maxi frode legata a una rete internazionale di riciclaggio.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Tra i beni sottratti figura anche una società, la cui attività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consisteva nel commercio al dettaglio di opere d’arte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 xml:space="preserve">moderna e </w:t>
      </w:r>
      <w:r w:rsidRPr="001751C5">
        <w:rPr>
          <w:rFonts w:asciiTheme="minorHAnsi" w:hAnsiTheme="minorHAnsi" w:cstheme="minorHAnsi"/>
          <w:sz w:val="22"/>
          <w:szCs w:val="22"/>
        </w:rPr>
        <w:lastRenderedPageBreak/>
        <w:t>contemporanea, sia in proprio sia per conto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terzi, che disponeva anche di una galleria a Roma, nella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centralissima e rinomata via Margutta. Le opere d’arte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sono state acquisite al patrimonio indisponibile dello Stato,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transitando nella gestione dell’Agenzia Nazionale per l’amministrazione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la destinazione dei beni sequestrati e confiscati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alla criminalità organizzata. A seguito dell’articolata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procedura di valutazione da parte delle competenti direzioni del Ministero della Cultura, esse sono state riconosciute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valore e interesse culturale. Al termine dell’iniziativa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espositiva, saranno definitivamente destinate a diversi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musei e collezioni pubbliche sul territorio nazionale (Galleria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Nazionale, Cosenza; Castel Sant’Elmo, Napoli; Galleria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Nazionale d’Arte Moderna e Contemporanea, Roma; Museo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delle Civiltà, Roma; Pinacoteca di Brera - Palazzo Citterio,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Milano) per consentirne la fruizione permanente.</w:t>
      </w:r>
    </w:p>
    <w:p w14:paraId="0197AB6A" w14:textId="0629386C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Le altre ventidue sono parte del compendio di beni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confiscati con un decreto del Tribunale di Reggio Calabria,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divenuto definitivo nel 2015, nell’ambito di un procedimento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prevenzione instaurato nei confronti di un soggetto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stabilmente dedito ad attività economiche illecite, pienamente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inserito nel circuito della criminalità organizzata,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che gestiva attività imprenditoriale di noleggio videogiochi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anche illegali, evadendo sistematicamente il fisco. 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opere d’arte sono state acquisite al patrimonio indisponibile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dello Stato e transitate nella gestione dell’Agenzia Nazionale,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che le ha assegnate alla Soprintendenza Archeologia,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Belle Arti e Paesaggio di Reggio Calabria per l’esposizione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permanente presso il Palazzo della Cultura “Pasquino Crupi”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Città Metropolitana di Reggio Calabria, sito culturale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pienamente coinvolto in una serie di progetti divulgativi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didattici coordinati con gli istituti scolastici di ogni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ordine e grado.</w:t>
      </w:r>
    </w:p>
    <w:p w14:paraId="45674B6C" w14:textId="499970F6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Le vicende che hanno riguardato le procedure di confisca,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nell’ambito delle quali sono state acquisite all’erario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le opere selezionate, attestano la sfida vittoriosa dello Stato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nei confronti delle criminalità per riaffermare il valore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legalità e della cultura.</w:t>
      </w:r>
    </w:p>
    <w:p w14:paraId="012AD791" w14:textId="06822BF5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La mostra, nella sua edizione completa a Milano (Palazzo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Reale, 2 dicembre 2024 - 25 gennaio 2025) e a Reggio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Calabria (Palazzo della Cultura, 8 febbraio - 27 aprile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2025), testimonia il ruolo e l’impegno civile delle istituzioni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pubbliche coinvolte, dalle prefetture alle forze di Polizia,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dall’autorità giudiziaria all’Agenzia Nazionale, dal Ministero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Cultura agli enti territoriali coinvolti nel progetto,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 un articolato e virtuoso processo di cooperazione finalizzato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all’affermazione e al rafforzamento dei valori della cultura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della legalità.</w:t>
      </w:r>
    </w:p>
    <w:p w14:paraId="71DADD5F" w14:textId="1F2861B3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In questo senso, l’“arte liberata”, a prescindere dal valore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intrinseco, estetico o artistico, acquista un altissimo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valore sociale e raggiunge l’obiettivo di promuovere e incoraggiare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la cittadinanza attiva, intesa come partecipazione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 consapevolezza delle regole necessarie per contrastare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ogni forma di illegalità.</w:t>
      </w:r>
    </w:p>
    <w:p w14:paraId="737B8891" w14:textId="07D15555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Da ultimo, il valore pedagogico dell’“arte liberata” assume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ancor di più significato laddove, anche in chiave simbolica,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si manifesta, attraverso la restituzione alla comunità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di opere sottratte alla criminalità organizzata, come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esaltazione della bellezza, insita per antonomasia nell’arte,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rispetto alla bruttezza e alla opacità del delitto.</w:t>
      </w:r>
    </w:p>
    <w:p w14:paraId="7F4E94B4" w14:textId="5B7A727D" w:rsidR="001751C5" w:rsidRPr="001751C5" w:rsidRDefault="001751C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>Una plastica rappresentazione della vittoria del Diritto</w:t>
      </w:r>
      <w:r>
        <w:rPr>
          <w:rFonts w:asciiTheme="minorHAnsi" w:hAnsiTheme="minorHAnsi" w:cstheme="minorHAnsi"/>
          <w:sz w:val="22"/>
          <w:szCs w:val="22"/>
        </w:rPr>
        <w:t xml:space="preserve"> </w:t>
      </w:r>
      <w:r w:rsidRPr="001751C5">
        <w:rPr>
          <w:rFonts w:asciiTheme="minorHAnsi" w:hAnsiTheme="minorHAnsi" w:cstheme="minorHAnsi"/>
          <w:sz w:val="22"/>
          <w:szCs w:val="22"/>
        </w:rPr>
        <w:t>sul Delitto.</w:t>
      </w:r>
    </w:p>
    <w:p w14:paraId="0F63C158" w14:textId="77777777" w:rsidR="00D56191" w:rsidRPr="001751C5" w:rsidRDefault="00D56191" w:rsidP="00445705">
      <w:pPr>
        <w:jc w:val="both"/>
        <w:rPr>
          <w:rFonts w:asciiTheme="minorHAnsi" w:hAnsiTheme="minorHAnsi" w:cstheme="minorHAnsi"/>
          <w:sz w:val="22"/>
          <w:szCs w:val="22"/>
        </w:rPr>
      </w:pPr>
    </w:p>
    <w:p w14:paraId="12357989" w14:textId="2883715C" w:rsidR="00C56585" w:rsidRPr="001751C5" w:rsidRDefault="00095415" w:rsidP="00445705">
      <w:pPr>
        <w:jc w:val="both"/>
        <w:rPr>
          <w:rFonts w:asciiTheme="minorHAnsi" w:hAnsiTheme="minorHAnsi" w:cstheme="minorHAnsi"/>
          <w:sz w:val="22"/>
          <w:szCs w:val="22"/>
        </w:rPr>
      </w:pPr>
      <w:r w:rsidRPr="001751C5">
        <w:rPr>
          <w:rFonts w:asciiTheme="minorHAnsi" w:hAnsiTheme="minorHAnsi" w:cstheme="minorHAnsi"/>
          <w:sz w:val="22"/>
          <w:szCs w:val="22"/>
        </w:rPr>
        <w:t xml:space="preserve">Milano, </w:t>
      </w:r>
      <w:r w:rsidR="00276616" w:rsidRPr="001751C5">
        <w:rPr>
          <w:rFonts w:asciiTheme="minorHAnsi" w:hAnsiTheme="minorHAnsi" w:cstheme="minorHAnsi"/>
          <w:sz w:val="22"/>
          <w:szCs w:val="22"/>
        </w:rPr>
        <w:t>2 dicembre 2024</w:t>
      </w:r>
    </w:p>
    <w:sectPr w:rsidR="00C56585" w:rsidRPr="001751C5" w:rsidSect="00095415">
      <w:headerReference w:type="default" r:id="rId9"/>
      <w:footerReference w:type="default" r:id="rId10"/>
      <w:pgSz w:w="11900" w:h="16840"/>
      <w:pgMar w:top="4253" w:right="851" w:bottom="2694" w:left="567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C589D24" w14:textId="77777777" w:rsidR="00BD671D" w:rsidRDefault="00BD671D">
      <w:r>
        <w:separator/>
      </w:r>
    </w:p>
  </w:endnote>
  <w:endnote w:type="continuationSeparator" w:id="0">
    <w:p w14:paraId="295AF332" w14:textId="77777777" w:rsidR="00BD671D" w:rsidRDefault="00BD671D">
      <w:r>
        <w:continuationSeparator/>
      </w:r>
    </w:p>
  </w:endnote>
  <w:endnote w:type="continuationNotice" w:id="1">
    <w:p w14:paraId="2F01DE77" w14:textId="77777777" w:rsidR="00F52C2F" w:rsidRDefault="00F52C2F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2E5D5B0" w14:textId="24E1055B" w:rsidR="0063361E" w:rsidRDefault="00701D3A">
    <w:pPr>
      <w:pStyle w:val="Pidipagina"/>
    </w:pPr>
    <w:r>
      <w:rPr>
        <w:noProof/>
      </w:rPr>
      <w:drawing>
        <wp:anchor distT="0" distB="0" distL="114300" distR="114300" simplePos="0" relativeHeight="251658241" behindDoc="1" locked="0" layoutInCell="1" allowOverlap="1" wp14:anchorId="67972D4D" wp14:editId="55200084">
          <wp:simplePos x="0" y="0"/>
          <wp:positionH relativeFrom="page">
            <wp:align>left</wp:align>
          </wp:positionH>
          <wp:positionV relativeFrom="page">
            <wp:align>bottom</wp:align>
          </wp:positionV>
          <wp:extent cx="7560000" cy="1735200"/>
          <wp:effectExtent l="0" t="0" r="0" b="5080"/>
          <wp:wrapNone/>
          <wp:docPr id="1214345077" name="Immagine 121434507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Immagine 4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1735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AC89E58" w14:textId="77777777" w:rsidR="00BD671D" w:rsidRDefault="00BD671D">
      <w:r>
        <w:separator/>
      </w:r>
    </w:p>
  </w:footnote>
  <w:footnote w:type="continuationSeparator" w:id="0">
    <w:p w14:paraId="3D5F620B" w14:textId="77777777" w:rsidR="00BD671D" w:rsidRDefault="00BD671D">
      <w:r>
        <w:continuationSeparator/>
      </w:r>
    </w:p>
  </w:footnote>
  <w:footnote w:type="continuationNotice" w:id="1">
    <w:p w14:paraId="655D03C1" w14:textId="77777777" w:rsidR="00F52C2F" w:rsidRDefault="00F52C2F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6FC60E6" w14:textId="5F108FDD" w:rsidR="0063361E" w:rsidRDefault="00701D3A">
    <w:pPr>
      <w:pStyle w:val="Intestazione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96C05CD" wp14:editId="4F2B8F65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60000" cy="2854800"/>
          <wp:effectExtent l="0" t="0" r="0" b="3175"/>
          <wp:wrapNone/>
          <wp:docPr id="176830270" name="Immagine 17683027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Immagine 2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7560000" cy="2854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stylePaneSortMethod w:val="0000"/>
  <w:defaultTabStop w:val="708"/>
  <w:hyphenationZone w:val="283"/>
  <w:drawingGridHorizontalSpacing w:val="120"/>
  <w:displayHorizontalDrawingGridEvery w:val="2"/>
  <w:displayVerticalDrawingGridEvery w:val="2"/>
  <w:characterSpacingControl w:val="doNotCompress"/>
  <w:hdrShapeDefaults>
    <o:shapedefaults v:ext="edit" spidmax="1228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47A65"/>
    <w:rsid w:val="00015351"/>
    <w:rsid w:val="00095415"/>
    <w:rsid w:val="000A37A7"/>
    <w:rsid w:val="000B7B2E"/>
    <w:rsid w:val="000C22D1"/>
    <w:rsid w:val="001269D5"/>
    <w:rsid w:val="00161685"/>
    <w:rsid w:val="001751C5"/>
    <w:rsid w:val="0019464B"/>
    <w:rsid w:val="002206AB"/>
    <w:rsid w:val="002417AA"/>
    <w:rsid w:val="00274F91"/>
    <w:rsid w:val="00276616"/>
    <w:rsid w:val="002B15BE"/>
    <w:rsid w:val="002B26DF"/>
    <w:rsid w:val="002B49EE"/>
    <w:rsid w:val="002B7CB3"/>
    <w:rsid w:val="00352D78"/>
    <w:rsid w:val="00397AC6"/>
    <w:rsid w:val="003F6AA1"/>
    <w:rsid w:val="00420A0C"/>
    <w:rsid w:val="00431802"/>
    <w:rsid w:val="004345F4"/>
    <w:rsid w:val="00445705"/>
    <w:rsid w:val="00447A65"/>
    <w:rsid w:val="0049038C"/>
    <w:rsid w:val="0052573B"/>
    <w:rsid w:val="00531C3F"/>
    <w:rsid w:val="00535E45"/>
    <w:rsid w:val="00550F4B"/>
    <w:rsid w:val="0056643F"/>
    <w:rsid w:val="005C1428"/>
    <w:rsid w:val="005D2195"/>
    <w:rsid w:val="006016CD"/>
    <w:rsid w:val="00610E47"/>
    <w:rsid w:val="00626FBA"/>
    <w:rsid w:val="0063361E"/>
    <w:rsid w:val="00656A4C"/>
    <w:rsid w:val="00690E28"/>
    <w:rsid w:val="006A0D5D"/>
    <w:rsid w:val="006C3B1C"/>
    <w:rsid w:val="00701D3A"/>
    <w:rsid w:val="007030D3"/>
    <w:rsid w:val="007260B3"/>
    <w:rsid w:val="00742C64"/>
    <w:rsid w:val="00765645"/>
    <w:rsid w:val="00785AAD"/>
    <w:rsid w:val="00792C88"/>
    <w:rsid w:val="007C5509"/>
    <w:rsid w:val="007C6364"/>
    <w:rsid w:val="008167CD"/>
    <w:rsid w:val="00832B7E"/>
    <w:rsid w:val="00874B6A"/>
    <w:rsid w:val="0089119E"/>
    <w:rsid w:val="00895349"/>
    <w:rsid w:val="00901566"/>
    <w:rsid w:val="00950DA3"/>
    <w:rsid w:val="00962E1D"/>
    <w:rsid w:val="00973AF5"/>
    <w:rsid w:val="00980EAD"/>
    <w:rsid w:val="00981E34"/>
    <w:rsid w:val="00AB76F5"/>
    <w:rsid w:val="00AC1C57"/>
    <w:rsid w:val="00AD4724"/>
    <w:rsid w:val="00B37106"/>
    <w:rsid w:val="00BD671D"/>
    <w:rsid w:val="00C03EF9"/>
    <w:rsid w:val="00C56585"/>
    <w:rsid w:val="00C72785"/>
    <w:rsid w:val="00CA162E"/>
    <w:rsid w:val="00CA62B8"/>
    <w:rsid w:val="00CD61A8"/>
    <w:rsid w:val="00D56191"/>
    <w:rsid w:val="00D61A4F"/>
    <w:rsid w:val="00D642B5"/>
    <w:rsid w:val="00D659D0"/>
    <w:rsid w:val="00DE5F94"/>
    <w:rsid w:val="00E51D15"/>
    <w:rsid w:val="00E559CE"/>
    <w:rsid w:val="00E77573"/>
    <w:rsid w:val="00F413E2"/>
    <w:rsid w:val="00F52C2F"/>
    <w:rsid w:val="00F77ABD"/>
    <w:rsid w:val="00F957BA"/>
    <w:rsid w:val="00FC5FD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2289"/>
    <o:shapelayout v:ext="edit">
      <o:idmap v:ext="edit" data="1"/>
    </o:shapelayout>
  </w:shapeDefaults>
  <w:decimalSymbol w:val=","/>
  <w:listSeparator w:val=";"/>
  <w14:docId w14:val="7A76EE4A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mbria" w:eastAsia="MS Mincho" w:hAnsi="Cambria" w:cs="Times New Roman"/>
        <w:lang w:val="it-IT" w:eastAsia="it-IT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8F6D3E"/>
    <w:rPr>
      <w:sz w:val="24"/>
      <w:szCs w:val="24"/>
    </w:rPr>
  </w:style>
  <w:style w:type="character" w:default="1" w:styleId="Carpredefinitoparagrafo">
    <w:name w:val="Default Paragraph Font"/>
    <w:uiPriority w:val="1"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6F0317"/>
    <w:rPr>
      <w:color w:val="0000FF"/>
      <w:u w:val="single"/>
    </w:rPr>
  </w:style>
  <w:style w:type="character" w:styleId="Collegamentovisitato">
    <w:name w:val="FollowedHyperlink"/>
    <w:basedOn w:val="Carpredefinitoparagrafo"/>
    <w:uiPriority w:val="99"/>
    <w:semiHidden/>
    <w:unhideWhenUsed/>
    <w:rsid w:val="00F92A38"/>
    <w:rPr>
      <w:color w:val="800080"/>
      <w:u w:val="single"/>
    </w:rPr>
  </w:style>
  <w:style w:type="paragraph" w:styleId="Intestazione">
    <w:name w:val="header"/>
    <w:basedOn w:val="Normale"/>
    <w:link w:val="Intestazione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BD1039"/>
  </w:style>
  <w:style w:type="paragraph" w:styleId="Pidipagina">
    <w:name w:val="footer"/>
    <w:basedOn w:val="Normale"/>
    <w:link w:val="PidipaginaCarattere"/>
    <w:uiPriority w:val="99"/>
    <w:unhideWhenUsed/>
    <w:rsid w:val="00BD1039"/>
    <w:pPr>
      <w:tabs>
        <w:tab w:val="center" w:pos="4986"/>
        <w:tab w:val="right" w:pos="9972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BD1039"/>
  </w:style>
  <w:style w:type="character" w:styleId="Menzionenonrisolta">
    <w:name w:val="Unresolved Mention"/>
    <w:basedOn w:val="Carpredefinitoparagrafo"/>
    <w:uiPriority w:val="99"/>
    <w:rsid w:val="00792C88"/>
    <w:rPr>
      <w:color w:val="605E5C"/>
      <w:shd w:val="clear" w:color="auto" w:fill="E1DFDD"/>
    </w:rPr>
  </w:style>
  <w:style w:type="paragraph" w:styleId="Corpotesto">
    <w:name w:val="Body Text"/>
    <w:basedOn w:val="Normale"/>
    <w:link w:val="CorpotestoCarattere"/>
    <w:uiPriority w:val="1"/>
    <w:qFormat/>
    <w:rsid w:val="00792C88"/>
    <w:pPr>
      <w:widowControl w:val="0"/>
      <w:autoSpaceDE w:val="0"/>
      <w:autoSpaceDN w:val="0"/>
    </w:pPr>
    <w:rPr>
      <w:rFonts w:ascii="Calibri" w:eastAsia="Calibri" w:hAnsi="Calibri" w:cs="Calibri"/>
      <w:lang w:eastAsia="en-US"/>
    </w:rPr>
  </w:style>
  <w:style w:type="character" w:customStyle="1" w:styleId="CorpotestoCarattere">
    <w:name w:val="Corpo testo Carattere"/>
    <w:basedOn w:val="Carpredefinitoparagrafo"/>
    <w:link w:val="Corpotesto"/>
    <w:uiPriority w:val="1"/>
    <w:rsid w:val="00792C88"/>
    <w:rPr>
      <w:rFonts w:ascii="Calibri" w:eastAsia="Calibri" w:hAnsi="Calibri" w:cs="Calibri"/>
      <w:sz w:val="24"/>
      <w:szCs w:val="24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7359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72075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690842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1952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e6ae1104-2084-46c2-94e8-fb18143a54c8" xsi:nil="true"/>
    <lcf76f155ced4ddcb4097134ff3c332f xmlns="e51cac17-9d3b-42cf-aa66-1c7ce94de299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o" ma:contentTypeID="0x010100CEE2951FC9A8954D98E2686339B094D3" ma:contentTypeVersion="18" ma:contentTypeDescription="Creare un nuovo documento." ma:contentTypeScope="" ma:versionID="38a3b00c9b68253a8ca4bf5eae90c48f">
  <xsd:schema xmlns:xsd="http://www.w3.org/2001/XMLSchema" xmlns:xs="http://www.w3.org/2001/XMLSchema" xmlns:p="http://schemas.microsoft.com/office/2006/metadata/properties" xmlns:ns2="e51cac17-9d3b-42cf-aa66-1c7ce94de299" xmlns:ns3="e6ae1104-2084-46c2-94e8-fb18143a54c8" targetNamespace="http://schemas.microsoft.com/office/2006/metadata/properties" ma:root="true" ma:fieldsID="b8ccb006690dad88fc627e7df02388b8" ns2:_="" ns3:_="">
    <xsd:import namespace="e51cac17-9d3b-42cf-aa66-1c7ce94de299"/>
    <xsd:import namespace="e6ae1104-2084-46c2-94e8-fb18143a54c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LengthInSeconds" minOccurs="0"/>
                <xsd:element ref="ns2:MediaServiceAutoTags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51cac17-9d3b-42cf-aa66-1c7ce94de29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4" nillable="true" ma:displayName="Tags" ma:internalName="MediaServiceAutoTags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7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8" nillable="true" ma:displayName="Location" ma:internalName="MediaServiceLocation" ma:readOnly="true">
      <xsd:simpleType>
        <xsd:restriction base="dms:Text"/>
      </xsd:simpleType>
    </xsd:element>
    <xsd:element name="lcf76f155ced4ddcb4097134ff3c332f" ma:index="22" nillable="true" ma:taxonomy="true" ma:internalName="lcf76f155ced4ddcb4097134ff3c332f" ma:taxonomyFieldName="MediaServiceImageTags" ma:displayName="Tag immagine" ma:readOnly="false" ma:fieldId="{5cf76f15-5ced-4ddc-b409-7134ff3c332f}" ma:taxonomyMulti="true" ma:sspId="32750ef2-dc1e-42bb-9b8b-20a1a6cd70a9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4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6ae1104-2084-46c2-94e8-fb18143a54c8" elementFormDefault="qualified">
    <xsd:import namespace="http://schemas.microsoft.com/office/2006/documentManagement/types"/>
    <xsd:import namespace="http://schemas.microsoft.com/office/infopath/2007/PartnerControls"/>
    <xsd:element name="SharedWithUsers" ma:index="19" nillable="true" ma:displayName="Condiviso con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0" nillable="true" ma:displayName="Condiviso con dettagli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90734e1-f8e3-4e3c-8931-9fe2cbf06ccc}" ma:internalName="TaxCatchAll" ma:showField="CatchAllData" ma:web="e6ae1104-2084-46c2-94e8-fb18143a54c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ipo di contenuto"/>
        <xsd:element ref="dc:title" minOccurs="0" maxOccurs="1" ma:index="4" ma:displayName="Titolo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28ED7CBF-27D0-4FE2-B6C4-5655A49097A4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445E8DE2-FFA0-4D60-944E-0C57B107F517}">
  <ds:schemaRefs>
    <ds:schemaRef ds:uri="http://schemas.microsoft.com/office/2006/metadata/properties"/>
    <ds:schemaRef ds:uri="http://schemas.microsoft.com/office/infopath/2007/PartnerControls"/>
    <ds:schemaRef ds:uri="e6ae1104-2084-46c2-94e8-fb18143a54c8"/>
    <ds:schemaRef ds:uri="e51cac17-9d3b-42cf-aa66-1c7ce94de299"/>
  </ds:schemaRefs>
</ds:datastoreItem>
</file>

<file path=customXml/itemProps3.xml><?xml version="1.0" encoding="utf-8"?>
<ds:datastoreItem xmlns:ds="http://schemas.openxmlformats.org/officeDocument/2006/customXml" ds:itemID="{69316478-1558-434F-994B-CF6ADDD25BFE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e51cac17-9d3b-42cf-aa66-1c7ce94de299"/>
    <ds:schemaRef ds:uri="e6ae1104-2084-46c2-94e8-fb18143a54c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4</Pages>
  <Words>1944</Words>
  <Characters>12277</Characters>
  <Application>Microsoft Office Word</Application>
  <DocSecurity>0</DocSecurity>
  <Lines>102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14193</CharactersWithSpaces>
  <SharedDoc>false</SharedDoc>
  <HLinks>
    <vt:vector size="6" baseType="variant">
      <vt:variant>
        <vt:i4>7667757</vt:i4>
      </vt:variant>
      <vt:variant>
        <vt:i4>-1</vt:i4>
      </vt:variant>
      <vt:variant>
        <vt:i4>2061</vt:i4>
      </vt:variant>
      <vt:variant>
        <vt:i4>1</vt:i4>
      </vt:variant>
      <vt:variant>
        <vt:lpwstr>int-06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Arthemisia</dc:creator>
  <cp:keywords/>
  <dc:description/>
  <cp:lastModifiedBy>Carlo Ghielmetti</cp:lastModifiedBy>
  <cp:revision>5</cp:revision>
  <cp:lastPrinted>2014-04-01T09:50:00Z</cp:lastPrinted>
  <dcterms:created xsi:type="dcterms:W3CDTF">2024-11-28T09:42:00Z</dcterms:created>
  <dcterms:modified xsi:type="dcterms:W3CDTF">2024-11-28T10:15:00Z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0x010100CEE2951FC9A8954D98E2686339B094D3</vt:lpwstr>
  </property>
  <property fmtid="{D5CDD505-2E9C-101B-9397-08002B2CF9AE}" pid="3" name="MediaServiceImageTags">
    <vt:lpwstr/>
  </property>
</Properties>
</file>