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CFB1A" w14:textId="77777777" w:rsidR="006D4087" w:rsidRPr="00877B5B" w:rsidRDefault="006D4087" w:rsidP="00A55B9F">
      <w:pPr>
        <w:jc w:val="both"/>
        <w:rPr>
          <w:rFonts w:ascii="Garamond" w:eastAsia="Garamond" w:hAnsi="Garamond" w:cs="Garamond"/>
          <w:b/>
          <w:i/>
        </w:rPr>
      </w:pPr>
    </w:p>
    <w:p w14:paraId="64617797" w14:textId="6AF781F2" w:rsidR="00B23574" w:rsidRDefault="00FA345F" w:rsidP="00A55B9F">
      <w:pPr>
        <w:spacing w:after="0"/>
        <w:jc w:val="both"/>
        <w:rPr>
          <w:rFonts w:ascii="Garamond" w:eastAsia="Garamond" w:hAnsi="Garamond" w:cs="Garamond"/>
          <w:b/>
          <w:sz w:val="28"/>
          <w:szCs w:val="28"/>
        </w:rPr>
      </w:pPr>
      <w:bookmarkStart w:id="0" w:name="_Hlk180501944"/>
      <w:r w:rsidRPr="00FA345F">
        <w:rPr>
          <w:rFonts w:ascii="Garamond" w:eastAsia="Garamond" w:hAnsi="Garamond" w:cs="Garamond"/>
          <w:b/>
          <w:sz w:val="28"/>
          <w:szCs w:val="28"/>
        </w:rPr>
        <w:t>VERUSKA PICCHIARELLI</w:t>
      </w:r>
    </w:p>
    <w:p w14:paraId="0157BF01" w14:textId="73DB9BBE" w:rsidR="00A55B9F" w:rsidRDefault="00B23574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  <w:r>
        <w:rPr>
          <w:rFonts w:ascii="Garamond" w:eastAsia="Garamond" w:hAnsi="Garamond" w:cs="Garamond"/>
          <w:b/>
          <w:i/>
          <w:iCs/>
          <w:sz w:val="28"/>
          <w:szCs w:val="28"/>
        </w:rPr>
        <w:t>Curatrice della mostra</w:t>
      </w:r>
      <w:bookmarkEnd w:id="0"/>
    </w:p>
    <w:p w14:paraId="0231F584" w14:textId="77777777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132103E2" w14:textId="140F1CA4" w:rsidR="003D696D" w:rsidRDefault="00FA345F" w:rsidP="00FA345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  <w:r w:rsidRPr="00FA345F">
        <w:rPr>
          <w:rFonts w:ascii="Garamond" w:eastAsia="Garamond" w:hAnsi="Garamond" w:cs="Garamond"/>
          <w:b/>
          <w:bCs/>
          <w:sz w:val="28"/>
          <w:szCs w:val="28"/>
        </w:rPr>
        <w:t>L’età dell’oro</w:t>
      </w:r>
      <w:r w:rsidRPr="00FA345F">
        <w:rPr>
          <w:rFonts w:ascii="Garamond" w:eastAsia="Garamond" w:hAnsi="Garamond" w:cs="Garamond"/>
          <w:b/>
          <w:bCs/>
          <w:i/>
          <w:iCs/>
          <w:sz w:val="28"/>
          <w:szCs w:val="28"/>
        </w:rPr>
        <w:t xml:space="preserve"> </w:t>
      </w:r>
      <w:proofErr w:type="spellStart"/>
      <w:r w:rsidRPr="00FA345F">
        <w:rPr>
          <w:rFonts w:ascii="Garamond" w:eastAsia="Garamond" w:hAnsi="Garamond" w:cs="Garamond"/>
          <w:b/>
          <w:bCs/>
          <w:i/>
          <w:iCs/>
          <w:sz w:val="28"/>
          <w:szCs w:val="28"/>
        </w:rPr>
        <w:t>dell’oro</w:t>
      </w:r>
      <w:proofErr w:type="spellEnd"/>
      <w:r w:rsidRPr="00FA345F">
        <w:rPr>
          <w:rFonts w:ascii="Garamond" w:eastAsia="Garamond" w:hAnsi="Garamond" w:cs="Garamond"/>
          <w:b/>
          <w:bCs/>
          <w:i/>
          <w:iCs/>
          <w:sz w:val="28"/>
          <w:szCs w:val="28"/>
        </w:rPr>
        <w:t>.</w:t>
      </w:r>
      <w:r>
        <w:rPr>
          <w:rFonts w:ascii="Garamond" w:eastAsia="Garamond" w:hAnsi="Garamond" w:cs="Garamond"/>
          <w:b/>
          <w:bCs/>
          <w:i/>
          <w:iCs/>
          <w:sz w:val="28"/>
          <w:szCs w:val="28"/>
        </w:rPr>
        <w:t xml:space="preserve"> </w:t>
      </w:r>
      <w:r w:rsidRPr="00FA345F">
        <w:rPr>
          <w:rFonts w:ascii="Garamond" w:eastAsia="Garamond" w:hAnsi="Garamond" w:cs="Garamond"/>
          <w:b/>
          <w:bCs/>
          <w:i/>
          <w:iCs/>
          <w:sz w:val="28"/>
          <w:szCs w:val="28"/>
        </w:rPr>
        <w:t>Il metallo più nobile nella pittura</w:t>
      </w:r>
      <w:r>
        <w:rPr>
          <w:rFonts w:ascii="Garamond" w:eastAsia="Garamond" w:hAnsi="Garamond" w:cs="Garamond"/>
          <w:b/>
          <w:bCs/>
          <w:i/>
          <w:iCs/>
          <w:sz w:val="28"/>
          <w:szCs w:val="28"/>
        </w:rPr>
        <w:t xml:space="preserve"> </w:t>
      </w:r>
      <w:r w:rsidRPr="00FA345F">
        <w:rPr>
          <w:rFonts w:ascii="Garamond" w:eastAsia="Garamond" w:hAnsi="Garamond" w:cs="Garamond"/>
          <w:b/>
          <w:bCs/>
          <w:i/>
          <w:iCs/>
          <w:sz w:val="28"/>
          <w:szCs w:val="28"/>
        </w:rPr>
        <w:t>e nelle arti del Medioevo</w:t>
      </w:r>
      <w:r w:rsidR="005B0E22">
        <w:rPr>
          <w:rFonts w:ascii="Garamond" w:eastAsia="Garamond" w:hAnsi="Garamond" w:cs="Garamond"/>
          <w:b/>
          <w:bCs/>
          <w:i/>
          <w:iCs/>
          <w:sz w:val="28"/>
          <w:szCs w:val="28"/>
        </w:rPr>
        <w:t>*</w:t>
      </w:r>
    </w:p>
    <w:p w14:paraId="07AA30F0" w14:textId="77777777" w:rsidR="003D696D" w:rsidRDefault="003D696D" w:rsidP="00A55B9F">
      <w:pPr>
        <w:spacing w:after="0"/>
        <w:jc w:val="both"/>
        <w:rPr>
          <w:rFonts w:ascii="Garamond" w:eastAsia="Garamond" w:hAnsi="Garamond" w:cs="Garamond"/>
          <w:bCs/>
          <w:sz w:val="28"/>
          <w:szCs w:val="28"/>
        </w:rPr>
      </w:pPr>
    </w:p>
    <w:p w14:paraId="48CF1013" w14:textId="253DF48D" w:rsidR="002324F1" w:rsidRPr="002324F1" w:rsidRDefault="002324F1" w:rsidP="009E1E77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>F</w:t>
      </w:r>
      <w:r w:rsidRPr="002324F1">
        <w:rPr>
          <w:rFonts w:ascii="Garamond" w:eastAsia="Garamond" w:hAnsi="Garamond" w:cs="Garamond"/>
          <w:bCs/>
          <w:sz w:val="24"/>
          <w:szCs w:val="24"/>
        </w:rPr>
        <w:t>ino a un passato non del tutto remoto, quelle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che chiamiamo oggi opere d’arte non nascevano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in sé per esprimere valori concettuali 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puramente estetici, ma con una specifica destinazione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funzionale, fosse essa di uso pratico o di culto.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Nella realizzazione di questi oggetti, soprattutto se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associati alla sacralità o alla regalità, si utilizzavano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sin dalle epoche più arcane materiali nobili. 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cominciare dall’oro, il quale, nella sua inalterabilità,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dava sembianza tangibile alla natura non corruttibile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 ciò di cui era simbolo, legandosi in veri e propri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feticci dei primordi della civiltà (citiamo con il rischio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 incappare nell’ovvio la cosiddetta maschera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 Agamennone, o 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Arca dell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Alleanza minutamente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descritta dalla Bibbia in </w:t>
      </w:r>
      <w:r w:rsidRPr="002324F1">
        <w:rPr>
          <w:rFonts w:ascii="Garamond" w:eastAsia="Garamond" w:hAnsi="Garamond" w:cs="Garamond"/>
          <w:bCs/>
          <w:i/>
          <w:iCs/>
          <w:sz w:val="24"/>
          <w:szCs w:val="24"/>
        </w:rPr>
        <w:t>Esodo</w:t>
      </w:r>
      <w:r w:rsidRPr="002324F1">
        <w:rPr>
          <w:rFonts w:ascii="Garamond" w:eastAsia="Garamond" w:hAnsi="Garamond" w:cs="Garamond"/>
          <w:bCs/>
          <w:sz w:val="24"/>
          <w:szCs w:val="24"/>
        </w:rPr>
        <w:t>, 25,10-22; 37,1-9)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all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essenza del divino e del potere.</w:t>
      </w:r>
    </w:p>
    <w:p w14:paraId="579DD4BD" w14:textId="562CE301" w:rsidR="002324F1" w:rsidRPr="002324F1" w:rsidRDefault="002324F1" w:rsidP="009E1E77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2324F1">
        <w:rPr>
          <w:rFonts w:ascii="Garamond" w:eastAsia="Garamond" w:hAnsi="Garamond" w:cs="Garamond"/>
          <w:bCs/>
          <w:sz w:val="24"/>
          <w:szCs w:val="24"/>
        </w:rPr>
        <w:t>Nella pittura in particolare, la scelta dell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oro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riveste significati potenziati, poiché si rivela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meno strettamente interconnessa alla fabbricazione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nonché al valore di </w:t>
      </w:r>
      <w:r w:rsidRPr="002324F1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status symbol </w:t>
      </w:r>
      <w:r w:rsidRPr="002324F1">
        <w:rPr>
          <w:rFonts w:ascii="Garamond" w:eastAsia="Garamond" w:hAnsi="Garamond" w:cs="Garamond"/>
          <w:bCs/>
          <w:sz w:val="24"/>
          <w:szCs w:val="24"/>
        </w:rPr>
        <w:t>del manufatto, 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pertanto frutto di una decisione meditata e di esigenze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in primis </w:t>
      </w:r>
      <w:r w:rsidRPr="002324F1">
        <w:rPr>
          <w:rFonts w:ascii="Garamond" w:eastAsia="Garamond" w:hAnsi="Garamond" w:cs="Garamond"/>
          <w:bCs/>
          <w:sz w:val="24"/>
          <w:szCs w:val="24"/>
        </w:rPr>
        <w:t>semantiche. Non a caso, 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epocale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rivoluzione culturale che segna il passaggio dall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età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 mezzo alla modernità non incide sull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utilizzo del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più prezioso fra i metalli nelle arti applicate. La sola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presenza di un cosiddetto </w:t>
      </w:r>
      <w:r>
        <w:rPr>
          <w:rFonts w:ascii="Garamond" w:eastAsia="Garamond" w:hAnsi="Garamond" w:cs="Garamond"/>
          <w:bCs/>
          <w:sz w:val="24"/>
          <w:szCs w:val="24"/>
        </w:rPr>
        <w:t>“</w:t>
      </w:r>
      <w:r w:rsidRPr="002324F1">
        <w:rPr>
          <w:rFonts w:ascii="Garamond" w:eastAsia="Garamond" w:hAnsi="Garamond" w:cs="Garamond"/>
          <w:bCs/>
          <w:sz w:val="24"/>
          <w:szCs w:val="24"/>
        </w:rPr>
        <w:t>fondo oro</w:t>
      </w:r>
      <w:r>
        <w:rPr>
          <w:rFonts w:ascii="Garamond" w:eastAsia="Garamond" w:hAnsi="Garamond" w:cs="Garamond"/>
          <w:bCs/>
          <w:sz w:val="24"/>
          <w:szCs w:val="24"/>
        </w:rPr>
        <w:t>”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 consente invece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anche ai profani di identificare nell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immediato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un dipinto come </w:t>
      </w:r>
      <w:r>
        <w:rPr>
          <w:rFonts w:ascii="Garamond" w:eastAsia="Garamond" w:hAnsi="Garamond" w:cs="Garamond"/>
          <w:bCs/>
          <w:sz w:val="24"/>
          <w:szCs w:val="24"/>
        </w:rPr>
        <w:t>“</w:t>
      </w:r>
      <w:r w:rsidRPr="002324F1">
        <w:rPr>
          <w:rFonts w:ascii="Garamond" w:eastAsia="Garamond" w:hAnsi="Garamond" w:cs="Garamond"/>
          <w:bCs/>
          <w:sz w:val="24"/>
          <w:szCs w:val="24"/>
        </w:rPr>
        <w:t>medievale</w:t>
      </w:r>
      <w:r>
        <w:rPr>
          <w:rFonts w:ascii="Garamond" w:eastAsia="Garamond" w:hAnsi="Garamond" w:cs="Garamond"/>
          <w:bCs/>
          <w:sz w:val="24"/>
          <w:szCs w:val="24"/>
        </w:rPr>
        <w:t>”</w:t>
      </w:r>
      <w:r w:rsidRPr="002324F1">
        <w:rPr>
          <w:rFonts w:ascii="Garamond" w:eastAsia="Garamond" w:hAnsi="Garamond" w:cs="Garamond"/>
          <w:bCs/>
          <w:sz w:val="24"/>
          <w:szCs w:val="24"/>
        </w:rPr>
        <w:t>.</w:t>
      </w:r>
    </w:p>
    <w:p w14:paraId="2BDD1D0A" w14:textId="5F9A8D82" w:rsidR="002324F1" w:rsidRPr="002324F1" w:rsidRDefault="002324F1" w:rsidP="009E1E77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2324F1">
        <w:rPr>
          <w:rFonts w:ascii="Garamond" w:eastAsia="Garamond" w:hAnsi="Garamond" w:cs="Garamond"/>
          <w:bCs/>
          <w:sz w:val="24"/>
          <w:szCs w:val="24"/>
        </w:rPr>
        <w:t>Le ragioni dell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estensivo uso della lamina dorata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nella pittura del Medioevo hanno ispirato pagine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 alta esegesi, a cui si aggiungono i densi contributi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del cardinale Tolentino de </w:t>
      </w:r>
      <w:proofErr w:type="spellStart"/>
      <w:r w:rsidRPr="002324F1">
        <w:rPr>
          <w:rFonts w:ascii="Garamond" w:eastAsia="Garamond" w:hAnsi="Garamond" w:cs="Garamond"/>
          <w:bCs/>
          <w:sz w:val="24"/>
          <w:szCs w:val="24"/>
        </w:rPr>
        <w:t>Mendonça</w:t>
      </w:r>
      <w:proofErr w:type="spellEnd"/>
      <w:r w:rsidRPr="002324F1">
        <w:rPr>
          <w:rFonts w:ascii="Garamond" w:eastAsia="Garamond" w:hAnsi="Garamond" w:cs="Garamond"/>
          <w:bCs/>
          <w:sz w:val="24"/>
          <w:szCs w:val="24"/>
        </w:rPr>
        <w:t xml:space="preserve"> e di Antonino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Tranchina in questo volume. In relazione alle icone,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esse sono state ampiamente e poeticamente illustrate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da Pavel Florenskij nel saggio </w:t>
      </w:r>
      <w:r w:rsidRPr="002324F1">
        <w:rPr>
          <w:rFonts w:ascii="Garamond" w:eastAsia="Garamond" w:hAnsi="Garamond" w:cs="Garamond"/>
          <w:bCs/>
          <w:i/>
          <w:iCs/>
          <w:sz w:val="24"/>
          <w:szCs w:val="24"/>
        </w:rPr>
        <w:t>Le porte regali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e nella moltitudine di riflessioni e scritti da questo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orientati. Si intende chiaramente da tali considerazioni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come la crisi della </w:t>
      </w:r>
      <w:r w:rsidRPr="002324F1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forma mentis </w:t>
      </w:r>
      <w:r w:rsidRPr="002324F1">
        <w:rPr>
          <w:rFonts w:ascii="Garamond" w:eastAsia="Garamond" w:hAnsi="Garamond" w:cs="Garamond"/>
          <w:bCs/>
          <w:sz w:val="24"/>
          <w:szCs w:val="24"/>
        </w:rPr>
        <w:t>all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origine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del fenomeno non potesse che determinarne 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progressiva estinzione: il reale e il vero con il Rinascimento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tornano a coincidere, imprimendo alle arti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una vocazione alla mimesi a fronte della quale si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rende necessario trovare nuovi codici per comunicare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la trascendenza. 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inossidabilità dell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oro, la sua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luminescenza, non sono più il veicolo privilegiato del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sacro. Questo passaggio cruciale della storia dei linguaggi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visivi avviene proprio in coincidenza del vertice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assoluto di complessità ed eleganza raggiunto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dalla lavorazione del prezioso metallo, nell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ambito di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quel gusto </w:t>
      </w:r>
      <w:r w:rsidRPr="002324F1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flamboyant </w:t>
      </w:r>
      <w:r w:rsidRPr="002324F1">
        <w:rPr>
          <w:rFonts w:ascii="Garamond" w:eastAsia="Garamond" w:hAnsi="Garamond" w:cs="Garamond"/>
          <w:bCs/>
          <w:sz w:val="24"/>
          <w:szCs w:val="24"/>
        </w:rPr>
        <w:t>affermatosi tra gli ultimi decenni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del Trecento e i primi del Quattrocento nelle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corti europee, estrema propaggine della </w:t>
      </w:r>
      <w:r w:rsidRPr="002324F1">
        <w:rPr>
          <w:rFonts w:ascii="Garamond" w:eastAsia="Garamond" w:hAnsi="Garamond" w:cs="Garamond"/>
          <w:bCs/>
          <w:i/>
          <w:iCs/>
          <w:sz w:val="24"/>
          <w:szCs w:val="24"/>
        </w:rPr>
        <w:t xml:space="preserve">media </w:t>
      </w:r>
      <w:proofErr w:type="spellStart"/>
      <w:r w:rsidRPr="002324F1">
        <w:rPr>
          <w:rFonts w:ascii="Garamond" w:eastAsia="Garamond" w:hAnsi="Garamond" w:cs="Garamond"/>
          <w:bCs/>
          <w:i/>
          <w:iCs/>
          <w:sz w:val="24"/>
          <w:szCs w:val="24"/>
        </w:rPr>
        <w:t>aetas</w:t>
      </w:r>
      <w:proofErr w:type="spellEnd"/>
      <w:r w:rsidRPr="002324F1">
        <w:rPr>
          <w:rFonts w:ascii="Garamond" w:eastAsia="Garamond" w:hAnsi="Garamond" w:cs="Garamond"/>
          <w:bCs/>
          <w:sz w:val="24"/>
          <w:szCs w:val="24"/>
        </w:rPr>
        <w:t>.</w:t>
      </w:r>
    </w:p>
    <w:p w14:paraId="3F9D41CF" w14:textId="214ADB2C" w:rsidR="002324F1" w:rsidRPr="002324F1" w:rsidRDefault="002324F1" w:rsidP="009E1E77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2324F1">
        <w:rPr>
          <w:rFonts w:ascii="Garamond" w:eastAsia="Garamond" w:hAnsi="Garamond" w:cs="Garamond"/>
          <w:bCs/>
          <w:sz w:val="24"/>
          <w:szCs w:val="24"/>
        </w:rPr>
        <w:t>Da allora in poi, per secoli, nell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>arte occidentale</w:t>
      </w:r>
      <w:r>
        <w:rPr>
          <w:rFonts w:ascii="Garamond" w:eastAsia="Garamond" w:hAnsi="Garamond" w:cs="Garamond"/>
          <w:bCs/>
          <w:sz w:val="24"/>
          <w:szCs w:val="24"/>
        </w:rPr>
        <w:t xml:space="preserve"> l’</w:t>
      </w:r>
      <w:r w:rsidRPr="002324F1">
        <w:rPr>
          <w:rFonts w:ascii="Garamond" w:eastAsia="Garamond" w:hAnsi="Garamond" w:cs="Garamond"/>
          <w:bCs/>
          <w:sz w:val="24"/>
          <w:szCs w:val="24"/>
        </w:rPr>
        <w:t>uso dell</w:t>
      </w:r>
      <w:r>
        <w:rPr>
          <w:rFonts w:ascii="Garamond" w:eastAsia="Garamond" w:hAnsi="Garamond" w:cs="Garamond"/>
          <w:bCs/>
          <w:sz w:val="24"/>
          <w:szCs w:val="24"/>
        </w:rPr>
        <w:t>’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oro in pittura </w:t>
      </w:r>
      <w:r w:rsidRPr="002324F1">
        <w:rPr>
          <w:rFonts w:ascii="Garamond" w:eastAsia="Garamond" w:hAnsi="Garamond" w:cs="Garamond" w:hint="eastAsia"/>
          <w:bCs/>
          <w:sz w:val="24"/>
          <w:szCs w:val="24"/>
        </w:rPr>
        <w:t>–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 la più </w:t>
      </w:r>
      <w:r>
        <w:rPr>
          <w:rFonts w:ascii="Garamond" w:eastAsia="Garamond" w:hAnsi="Garamond" w:cs="Garamond"/>
          <w:bCs/>
          <w:sz w:val="24"/>
          <w:szCs w:val="24"/>
        </w:rPr>
        <w:t>“</w:t>
      </w:r>
      <w:r w:rsidRPr="002324F1">
        <w:rPr>
          <w:rFonts w:ascii="Garamond" w:eastAsia="Garamond" w:hAnsi="Garamond" w:cs="Garamond"/>
          <w:bCs/>
          <w:sz w:val="24"/>
          <w:szCs w:val="24"/>
        </w:rPr>
        <w:t>iconica</w:t>
      </w:r>
      <w:r>
        <w:rPr>
          <w:rFonts w:ascii="Garamond" w:eastAsia="Garamond" w:hAnsi="Garamond" w:cs="Garamond"/>
          <w:bCs/>
          <w:sz w:val="24"/>
          <w:szCs w:val="24"/>
        </w:rPr>
        <w:t>”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 tra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le arti </w:t>
      </w:r>
      <w:r w:rsidRPr="002324F1">
        <w:rPr>
          <w:rFonts w:ascii="Garamond" w:eastAsia="Garamond" w:hAnsi="Garamond" w:cs="Garamond" w:hint="eastAsia"/>
          <w:bCs/>
          <w:sz w:val="24"/>
          <w:szCs w:val="24"/>
        </w:rPr>
        <w:t>–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 è occasionale ed estemporaneo, confinato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a episodi marginali. Stenta a riaffermarsi anche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in quelle correnti ottocentesche che riconoscono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il ritorno a un passato idealizzato come principio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ispiratore: i Nazareni, i Puristi, i Preraffaelliti. È paradossale, pertanto, che i bagliori dorati abbiano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trovato nuovo spazio grazie all’azione di movimenti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 avanguardia come le Secessioni, votate a una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cesura netta con la tradizione precedente e il suo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conservatorismo, per poi continuare a essere oggetto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 sperimentazione e rilettura da parte delle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voci più significative del mondo contemporaneo. Ad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altri spetterà, in queste pagine, l’analisi di tali congiunture.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A chi scrive, invece, il compito di affrontare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il mare magnum dell’“età dell’oro” dell’oro, con 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difficoltà non indifferenti date dall’enormità del tema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e dai molteplici ed eterogenei punti di vista dai quali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esso può essere osservato. Si è scelto di trattare il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più basilare, nel senso etimologico del termine, tenendo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conto di due assunti: la natura intrinseca del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metallo, che è prima di tutto un elemento con delle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proprietà chimiche e fisiche, e la natura intrinseca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dell’arte, la quale – quantomeno nei secoli passati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 xml:space="preserve">– è imprescindibilmente una </w:t>
      </w:r>
      <w:proofErr w:type="spellStart"/>
      <w:r w:rsidRPr="002324F1">
        <w:rPr>
          <w:rFonts w:ascii="Garamond" w:eastAsia="Garamond" w:hAnsi="Garamond" w:cs="Garamond"/>
          <w:bCs/>
          <w:sz w:val="24"/>
          <w:szCs w:val="24"/>
        </w:rPr>
        <w:t>τέχνη</w:t>
      </w:r>
      <w:proofErr w:type="spellEnd"/>
      <w:r w:rsidRPr="002324F1">
        <w:rPr>
          <w:rFonts w:ascii="Garamond" w:eastAsia="Garamond" w:hAnsi="Garamond" w:cs="Garamond"/>
          <w:bCs/>
          <w:sz w:val="24"/>
          <w:szCs w:val="24"/>
        </w:rPr>
        <w:t>, un “saper fare”,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un insieme di procedimenti che comportano una lotta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con la materia, una sua manipolazione.</w:t>
      </w:r>
    </w:p>
    <w:p w14:paraId="35DD9FD8" w14:textId="571136FC" w:rsidR="002324F1" w:rsidRDefault="002324F1" w:rsidP="009E1E77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2324F1">
        <w:rPr>
          <w:rFonts w:ascii="Garamond" w:eastAsia="Garamond" w:hAnsi="Garamond" w:cs="Garamond"/>
          <w:bCs/>
          <w:sz w:val="24"/>
          <w:szCs w:val="24"/>
        </w:rPr>
        <w:lastRenderedPageBreak/>
        <w:t>L’oro, che nella sua funzione simbolica suggerisce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nelle immagini l’evanescenza dell’incorporeo,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è infatti per contrasto fra i materiali artistici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 più complessa lavorazione. I passaggi che i vari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procedimenti comportano – peraltro trasversali 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molti prodotti dell’attività figurativa, dai dipinti alle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miniature, dalle sculture alle oreficerie, fino all’arte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tessile – rientrano nel percorso di formazione di generazioni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 artisti dell’età di mezzo e sono codificati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dai prontuari che si diffondono a orientare la pratica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di bottega, raccogliendo le scarne conoscenze sopravvissute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alla deriva della classicità e della tarda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2324F1">
        <w:rPr>
          <w:rFonts w:ascii="Garamond" w:eastAsia="Garamond" w:hAnsi="Garamond" w:cs="Garamond"/>
          <w:bCs/>
          <w:sz w:val="24"/>
          <w:szCs w:val="24"/>
        </w:rPr>
        <w:t>antichità.</w:t>
      </w:r>
    </w:p>
    <w:p w14:paraId="259A232B" w14:textId="1BC1D8A8" w:rsidR="009E1E77" w:rsidRPr="009E1E77" w:rsidRDefault="009E1E77" w:rsidP="009E1E77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E1E77">
        <w:rPr>
          <w:rFonts w:ascii="Garamond" w:eastAsia="Garamond" w:hAnsi="Garamond" w:cs="Garamond"/>
          <w:bCs/>
          <w:sz w:val="24"/>
          <w:szCs w:val="24"/>
        </w:rPr>
        <w:t xml:space="preserve">Julius von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Schlosser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traduce con efficacia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questa congiuntura quando scrive: “È sintomatico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che il Medio Evo cominci anzitutto col raccogliere 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ricuperare i metodi dei laboratori, sia quelli tradizionali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che quelli introdotti di nuovo. È anzi questa 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sua unica letteratura artistica in senso stretto, naturalmente,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perché doveva ricominciare sulle sterminate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rovine della civiltà antica”.</w:t>
      </w:r>
    </w:p>
    <w:p w14:paraId="04ADCDB3" w14:textId="5D68A598" w:rsidR="009E1E77" w:rsidRPr="009E1E77" w:rsidRDefault="009E1E77" w:rsidP="009E1E77">
      <w:pPr>
        <w:spacing w:after="12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E1E77">
        <w:rPr>
          <w:rFonts w:ascii="Garamond" w:eastAsia="Garamond" w:hAnsi="Garamond" w:cs="Garamond"/>
          <w:bCs/>
          <w:sz w:val="24"/>
          <w:szCs w:val="24"/>
        </w:rPr>
        <w:t>Con riferimento ai secoli più alti di quella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lunga era, il manuale per eccellenza, non da ultimo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per un’organizzazione più strutturata dei contenuti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rispetto a quella dei semplici ricettari precedenti, è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 xml:space="preserve">il De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diversis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artibus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(o Schedula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diversarum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artium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>)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del monaco Teofilo (XII secolo).</w:t>
      </w:r>
    </w:p>
    <w:p w14:paraId="786FFF68" w14:textId="057D6149" w:rsidR="002324F1" w:rsidRDefault="009E1E77" w:rsidP="009E1E77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 w:rsidRPr="009E1E77">
        <w:rPr>
          <w:rFonts w:ascii="Garamond" w:eastAsia="Garamond" w:hAnsi="Garamond" w:cs="Garamond"/>
          <w:bCs/>
          <w:sz w:val="24"/>
          <w:szCs w:val="24"/>
        </w:rPr>
        <w:t>Nel Libro I, dedicato alla pittura e alla miniatura,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Teofilo fornisce la prima accurata descrizione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del metodo di fabbricazione della foglia d’oro e della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sua applicazione sui supporti pittorici tramite l’albume,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specificando come l’operazione potesse essere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eseguita anche “in muro” e indicando come esempi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di utilizzo di tale materiale “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coronas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aureas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circa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 xml:space="preserve">capita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regulorum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, et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stolas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et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oras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vestimentorum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>,</w:t>
      </w:r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 xml:space="preserve">et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caetera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ut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libuerit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>”. Significativamente non vengono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date indicazioni sulle tecniche di decorazione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della lamina tramite strumenti metallici. Nella pittura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altomedievale di area occidentale, in effetti, gli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ornati si limitano a minute punzonature e decorazioni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dipinte, in particolare sulle aureole, a fingere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applicazioni di pietre preziose o perle. Il monaco,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tuttavia, fornisce istruzioni sul procedimento di brunitura,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ovvero di lucidatura della superficie dorata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per mezzo di un dente di animale o di una pietra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(“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cum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dente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sive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cum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lapide”). In questo passaggio,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dei movimenti rotatori dello strumento utilizzato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potevano assicurare particolari effetti di rifrazione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e luminescenza, simili a “</w:t>
      </w:r>
      <w:proofErr w:type="spellStart"/>
      <w:r w:rsidRPr="009E1E77">
        <w:rPr>
          <w:rFonts w:ascii="Garamond" w:eastAsia="Garamond" w:hAnsi="Garamond" w:cs="Garamond"/>
          <w:bCs/>
          <w:sz w:val="24"/>
          <w:szCs w:val="24"/>
        </w:rPr>
        <w:t>rotae</w:t>
      </w:r>
      <w:proofErr w:type="spellEnd"/>
      <w:r w:rsidRPr="009E1E77">
        <w:rPr>
          <w:rFonts w:ascii="Garamond" w:eastAsia="Garamond" w:hAnsi="Garamond" w:cs="Garamond"/>
          <w:bCs/>
          <w:sz w:val="24"/>
          <w:szCs w:val="24"/>
        </w:rPr>
        <w:t xml:space="preserve"> avvampanti”, che si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riscontrano – come segnala Emanuele Zappasodi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– in “tavole realizzate in area bizantina fin dal XII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secolo e poi in ambito crociato e adriatico in quello</w:t>
      </w:r>
      <w:r>
        <w:rPr>
          <w:rFonts w:ascii="Garamond" w:eastAsia="Garamond" w:hAnsi="Garamond" w:cs="Garamond"/>
          <w:bCs/>
          <w:sz w:val="24"/>
          <w:szCs w:val="24"/>
        </w:rPr>
        <w:t xml:space="preserve"> </w:t>
      </w:r>
      <w:r w:rsidRPr="009E1E77">
        <w:rPr>
          <w:rFonts w:ascii="Garamond" w:eastAsia="Garamond" w:hAnsi="Garamond" w:cs="Garamond"/>
          <w:bCs/>
          <w:sz w:val="24"/>
          <w:szCs w:val="24"/>
        </w:rPr>
        <w:t>successivo”.</w:t>
      </w:r>
    </w:p>
    <w:p w14:paraId="33AA8C94" w14:textId="77777777" w:rsidR="009E1E77" w:rsidRDefault="009E1E77" w:rsidP="009E1E77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009B4969" w14:textId="24E8802F" w:rsidR="00A55B9F" w:rsidRDefault="00A55B9F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  <w:r>
        <w:rPr>
          <w:rFonts w:ascii="Garamond" w:eastAsia="Garamond" w:hAnsi="Garamond" w:cs="Garamond"/>
          <w:bCs/>
          <w:sz w:val="24"/>
          <w:szCs w:val="24"/>
        </w:rPr>
        <w:t>Perugia, 24 ottobre 2024</w:t>
      </w:r>
    </w:p>
    <w:p w14:paraId="0FB69E56" w14:textId="77777777" w:rsidR="005B0E22" w:rsidRDefault="005B0E22" w:rsidP="00A55B9F">
      <w:pPr>
        <w:spacing w:after="0"/>
        <w:jc w:val="both"/>
        <w:rPr>
          <w:rFonts w:ascii="Garamond" w:eastAsia="Garamond" w:hAnsi="Garamond" w:cs="Garamond"/>
          <w:bCs/>
          <w:sz w:val="24"/>
          <w:szCs w:val="24"/>
        </w:rPr>
      </w:pPr>
    </w:p>
    <w:p w14:paraId="4B5B2988" w14:textId="2DAA27C4" w:rsidR="005B0E22" w:rsidRPr="005B0E22" w:rsidRDefault="005B0E22" w:rsidP="00A55B9F">
      <w:pPr>
        <w:spacing w:after="0"/>
        <w:jc w:val="both"/>
        <w:rPr>
          <w:rFonts w:ascii="Garamond" w:eastAsia="Garamond" w:hAnsi="Garamond" w:cs="Garamond"/>
          <w:b/>
          <w:i/>
          <w:iCs/>
          <w:sz w:val="24"/>
          <w:szCs w:val="24"/>
        </w:rPr>
      </w:pPr>
      <w:r w:rsidRPr="005B0E22">
        <w:rPr>
          <w:rFonts w:ascii="Garamond" w:eastAsia="Garamond" w:hAnsi="Garamond" w:cs="Garamond"/>
          <w:b/>
          <w:i/>
          <w:iCs/>
          <w:sz w:val="24"/>
          <w:szCs w:val="24"/>
        </w:rPr>
        <w:t xml:space="preserve">* </w:t>
      </w:r>
      <w:r w:rsidR="00F84325">
        <w:rPr>
          <w:rFonts w:ascii="Garamond" w:eastAsia="Garamond" w:hAnsi="Garamond" w:cs="Garamond"/>
          <w:b/>
          <w:i/>
          <w:iCs/>
          <w:sz w:val="24"/>
          <w:szCs w:val="24"/>
        </w:rPr>
        <w:t>Testo estratto d</w:t>
      </w:r>
      <w:r w:rsidRPr="005B0E22">
        <w:rPr>
          <w:rFonts w:ascii="Garamond" w:eastAsia="Garamond" w:hAnsi="Garamond" w:cs="Garamond"/>
          <w:b/>
          <w:i/>
          <w:iCs/>
          <w:sz w:val="24"/>
          <w:szCs w:val="24"/>
        </w:rPr>
        <w:t>al catalogo della mostra Silvana Editoriale</w:t>
      </w:r>
    </w:p>
    <w:sectPr w:rsidR="005B0E22" w:rsidRPr="005B0E22" w:rsidSect="00FB45B0">
      <w:headerReference w:type="first" r:id="rId11"/>
      <w:pgSz w:w="11906" w:h="16838"/>
      <w:pgMar w:top="1417" w:right="1134" w:bottom="568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C569C8" w14:textId="77777777" w:rsidR="00F161F6" w:rsidRDefault="00F161F6">
      <w:pPr>
        <w:spacing w:after="0" w:line="240" w:lineRule="auto"/>
      </w:pPr>
      <w:r>
        <w:separator/>
      </w:r>
    </w:p>
  </w:endnote>
  <w:endnote w:type="continuationSeparator" w:id="0">
    <w:p w14:paraId="341355A4" w14:textId="77777777" w:rsidR="00F161F6" w:rsidRDefault="00F161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95C23D3-3210-4D50-A2AA-385CB3C5427B}"/>
    <w:embedBold r:id="rId2" w:fontKey="{F9B8AB9A-3414-4919-83D4-07E6F0478C5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B7434C20-B71F-48BE-A5D6-90946EA0E652}"/>
    <w:embedItalic r:id="rId4" w:fontKey="{B8471250-059D-40F2-97E1-071428058323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5" w:fontKey="{2B81E17C-969C-4586-A535-138DC064D62D}"/>
    <w:embedBold r:id="rId6" w:fontKey="{872AA791-0DDB-4343-AC63-BB88702B98A8}"/>
    <w:embedItalic r:id="rId7" w:fontKey="{3DBDE485-2042-4766-8523-07E5965B142D}"/>
    <w:embedBoldItalic r:id="rId8" w:fontKey="{35338322-F08B-4B55-9100-F6E46E10242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98CFA2B6-F9AF-453E-89F9-72C8F361825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AB4B4" w14:textId="77777777" w:rsidR="00F161F6" w:rsidRDefault="00F161F6">
      <w:pPr>
        <w:spacing w:after="0" w:line="240" w:lineRule="auto"/>
      </w:pPr>
      <w:r>
        <w:separator/>
      </w:r>
    </w:p>
  </w:footnote>
  <w:footnote w:type="continuationSeparator" w:id="0">
    <w:p w14:paraId="450D1C8D" w14:textId="77777777" w:rsidR="00F161F6" w:rsidRDefault="00F161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3FC7C1" w14:textId="77777777" w:rsidR="006D4087" w:rsidRDefault="002E08C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ED8B147" wp14:editId="2A159B5B">
          <wp:simplePos x="0" y="0"/>
          <wp:positionH relativeFrom="column">
            <wp:posOffset>1566227</wp:posOffset>
          </wp:positionH>
          <wp:positionV relativeFrom="paragraph">
            <wp:posOffset>-186372</wp:posOffset>
          </wp:positionV>
          <wp:extent cx="2987675" cy="685800"/>
          <wp:effectExtent l="0" t="0" r="0" b="0"/>
          <wp:wrapSquare wrapText="bothSides" distT="0" distB="0" distL="114300" distR="114300"/>
          <wp:docPr id="109914626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87675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087"/>
    <w:rsid w:val="00010741"/>
    <w:rsid w:val="000A1DE0"/>
    <w:rsid w:val="000B59E8"/>
    <w:rsid w:val="001465D0"/>
    <w:rsid w:val="00147B4C"/>
    <w:rsid w:val="0019497D"/>
    <w:rsid w:val="001A682E"/>
    <w:rsid w:val="002324F1"/>
    <w:rsid w:val="00242342"/>
    <w:rsid w:val="00247A35"/>
    <w:rsid w:val="00282660"/>
    <w:rsid w:val="00290C8A"/>
    <w:rsid w:val="002E08C2"/>
    <w:rsid w:val="00306AE7"/>
    <w:rsid w:val="003358FE"/>
    <w:rsid w:val="00393D68"/>
    <w:rsid w:val="003D696D"/>
    <w:rsid w:val="003F6C13"/>
    <w:rsid w:val="004042AE"/>
    <w:rsid w:val="004C1D37"/>
    <w:rsid w:val="004F1BBE"/>
    <w:rsid w:val="005148E6"/>
    <w:rsid w:val="0058214D"/>
    <w:rsid w:val="005B0E22"/>
    <w:rsid w:val="005C017A"/>
    <w:rsid w:val="00602422"/>
    <w:rsid w:val="00634BF8"/>
    <w:rsid w:val="006445DE"/>
    <w:rsid w:val="00684FB2"/>
    <w:rsid w:val="006A17B0"/>
    <w:rsid w:val="006D4087"/>
    <w:rsid w:val="00742B01"/>
    <w:rsid w:val="007467F8"/>
    <w:rsid w:val="007542B1"/>
    <w:rsid w:val="00782601"/>
    <w:rsid w:val="007C63A1"/>
    <w:rsid w:val="007D0A26"/>
    <w:rsid w:val="007D4980"/>
    <w:rsid w:val="008039E7"/>
    <w:rsid w:val="008642E2"/>
    <w:rsid w:val="00877B5B"/>
    <w:rsid w:val="008C23BF"/>
    <w:rsid w:val="008D151C"/>
    <w:rsid w:val="008F23FA"/>
    <w:rsid w:val="00913694"/>
    <w:rsid w:val="0098286A"/>
    <w:rsid w:val="009B3ADE"/>
    <w:rsid w:val="009D011C"/>
    <w:rsid w:val="009E0E45"/>
    <w:rsid w:val="009E1E77"/>
    <w:rsid w:val="00A35103"/>
    <w:rsid w:val="00A55B9F"/>
    <w:rsid w:val="00AC6629"/>
    <w:rsid w:val="00B23574"/>
    <w:rsid w:val="00B64BAC"/>
    <w:rsid w:val="00BA4F88"/>
    <w:rsid w:val="00BA73AA"/>
    <w:rsid w:val="00C6295D"/>
    <w:rsid w:val="00C653B4"/>
    <w:rsid w:val="00CE5437"/>
    <w:rsid w:val="00D03890"/>
    <w:rsid w:val="00D0613E"/>
    <w:rsid w:val="00D1057F"/>
    <w:rsid w:val="00D4555C"/>
    <w:rsid w:val="00D46907"/>
    <w:rsid w:val="00D808CC"/>
    <w:rsid w:val="00E45361"/>
    <w:rsid w:val="00E52A03"/>
    <w:rsid w:val="00E838EE"/>
    <w:rsid w:val="00EA0BF0"/>
    <w:rsid w:val="00F161F6"/>
    <w:rsid w:val="00F6333B"/>
    <w:rsid w:val="00F6593E"/>
    <w:rsid w:val="00F70142"/>
    <w:rsid w:val="00F84325"/>
    <w:rsid w:val="00FA345F"/>
    <w:rsid w:val="00FB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93F11"/>
  <w15:docId w15:val="{FEEF573A-FA3D-4569-92D8-621B1BBC63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Intestazione">
    <w:name w:val="header"/>
    <w:basedOn w:val="Normale"/>
    <w:link w:val="Intestazione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F207B"/>
  </w:style>
  <w:style w:type="paragraph" w:styleId="Pidipagina">
    <w:name w:val="footer"/>
    <w:basedOn w:val="Normale"/>
    <w:link w:val="PidipaginaCarattere"/>
    <w:uiPriority w:val="99"/>
    <w:unhideWhenUsed/>
    <w:rsid w:val="00FF207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F207B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690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LjJUAEPxu6SfdLLIBCMmPTG+rA==">CgMxLjA4AHIhMUp1UHB1Z2U3SnBSRjNnV0tXQldVdFM5eTZMOTJLV25K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CE87BC5-2402-4657-BD83-C16BC8691C8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DEC3951-4160-4CF0-A36B-74BE0A8DE14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88A6BC4-A333-4238-A989-D78C72C6AF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58CF9111-11E2-4EAE-B650-DA88019BA73F}">
  <ds:schemaRefs>
    <ds:schemaRef ds:uri="http://purl.org/dc/terms/"/>
    <ds:schemaRef ds:uri="e51cac17-9d3b-42cf-aa66-1c7ce94de299"/>
    <ds:schemaRef ds:uri="http://schemas.openxmlformats.org/package/2006/metadata/core-properties"/>
    <ds:schemaRef ds:uri="e6ae1104-2084-46c2-94e8-fb18143a54c8"/>
    <ds:schemaRef ds:uri="http://schemas.microsoft.com/office/2006/documentManagement/types"/>
    <ds:schemaRef ds:uri="http://purl.org/dc/elements/1.1/"/>
    <ds:schemaRef ds:uri="http://purl.org/dc/dcmitype/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1036</Words>
  <Characters>5906</Characters>
  <Application>Microsoft Office Word</Application>
  <DocSecurity>0</DocSecurity>
  <Lines>49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3</cp:revision>
  <cp:lastPrinted>2024-10-22T07:44:00Z</cp:lastPrinted>
  <dcterms:created xsi:type="dcterms:W3CDTF">2024-10-22T13:48:00Z</dcterms:created>
  <dcterms:modified xsi:type="dcterms:W3CDTF">2024-10-22T14:00:00Z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