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41E2217D" w14:textId="4D17C723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r w:rsidRPr="00A55B9F">
        <w:rPr>
          <w:rFonts w:ascii="Garamond" w:eastAsia="Garamond" w:hAnsi="Garamond" w:cs="Garamond"/>
          <w:b/>
          <w:sz w:val="28"/>
          <w:szCs w:val="28"/>
        </w:rPr>
        <w:t>COSTANTINO D’ORAZIO</w:t>
      </w:r>
    </w:p>
    <w:p w14:paraId="0157BF01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bookmarkStart w:id="0" w:name="_Hlk180501944"/>
      <w:r w:rsidRPr="00A55B9F">
        <w:rPr>
          <w:rFonts w:ascii="Garamond" w:eastAsia="Garamond" w:hAnsi="Garamond" w:cs="Garamond"/>
          <w:b/>
          <w:i/>
          <w:iCs/>
          <w:sz w:val="28"/>
          <w:szCs w:val="28"/>
        </w:rPr>
        <w:t>Direttore Musei nazionali di Perugia - Direzione regionale Musei nazionali Umbria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05CCDC81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235BB54A" w14:textId="6C72961D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A55B9F">
        <w:rPr>
          <w:rFonts w:ascii="Garamond" w:eastAsia="Garamond" w:hAnsi="Garamond" w:cs="Garamond"/>
          <w:bCs/>
          <w:sz w:val="24"/>
          <w:szCs w:val="24"/>
        </w:rPr>
        <w:t>Il tempo dell’oro è l’eternità. Da questa constatazione è scaturito l’input di questa mostra, la scintilla 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ha generato il bagliore incendiario di un esperimento visivo e concettuale inedito quale è quello dell’</w:t>
      </w:r>
      <w:r w:rsidRPr="00A55B9F">
        <w:rPr>
          <w:rFonts w:ascii="Garamond" w:eastAsia="Garamond" w:hAnsi="Garamond" w:cs="Garamond"/>
          <w:bCs/>
          <w:i/>
          <w:iCs/>
          <w:sz w:val="24"/>
          <w:szCs w:val="24"/>
        </w:rPr>
        <w:t>Età</w:t>
      </w:r>
      <w:r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i/>
          <w:iCs/>
          <w:sz w:val="24"/>
          <w:szCs w:val="24"/>
        </w:rPr>
        <w:t>dell’oro</w:t>
      </w:r>
      <w:r w:rsidRPr="00A55B9F">
        <w:rPr>
          <w:rFonts w:ascii="Garamond" w:eastAsia="Garamond" w:hAnsi="Garamond" w:cs="Garamond"/>
          <w:bCs/>
          <w:sz w:val="24"/>
          <w:szCs w:val="24"/>
        </w:rPr>
        <w:t>, evocato dal titolo della mostra, sostanziato dalla scelta di opere bellissime e documentato in questo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volume da una pluralità di voci alle quali corrispondono altrettante differenti visioni del tema.</w:t>
      </w:r>
    </w:p>
    <w:p w14:paraId="60C56F8B" w14:textId="59DB8EBB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A55B9F">
        <w:rPr>
          <w:rFonts w:ascii="Garamond" w:eastAsia="Garamond" w:hAnsi="Garamond" w:cs="Garamond"/>
          <w:bCs/>
          <w:sz w:val="24"/>
          <w:szCs w:val="24"/>
        </w:rPr>
        <w:t xml:space="preserve">Come avveniva in quelle esperienze espositive d’avanguardia realizzate negli anni </w:t>
      </w:r>
      <w:proofErr w:type="gramStart"/>
      <w:r w:rsidRPr="00A55B9F">
        <w:rPr>
          <w:rFonts w:ascii="Garamond" w:eastAsia="Garamond" w:hAnsi="Garamond" w:cs="Garamond"/>
          <w:bCs/>
          <w:sz w:val="24"/>
          <w:szCs w:val="24"/>
        </w:rPr>
        <w:t>settanta</w:t>
      </w:r>
      <w:proofErr w:type="gramEnd"/>
      <w:r w:rsidRPr="00A55B9F">
        <w:rPr>
          <w:rFonts w:ascii="Garamond" w:eastAsia="Garamond" w:hAnsi="Garamond" w:cs="Garamond"/>
          <w:bCs/>
          <w:sz w:val="24"/>
          <w:szCs w:val="24"/>
        </w:rPr>
        <w:t xml:space="preserve"> e ottanta del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secolo scorso, il nostro tentativo si propone oggi di realizzare un obiettivo tanto ambizioso quanto rischioso: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mostrare, e quindi dimostrare, l’elemento metatemporale dell’arte. Non solo dell’arte contemporanea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– molte altre volte in questo campo l’obiettivo è stato raggiunto con successo – ma anche dell’arte antica,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inchiodata dalla critica alla sua dimensione storica dalla quale è difficilissimo sottrarla, poiché la nostra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‘scienza’ non è altro che una declinazione della grande Storia.</w:t>
      </w:r>
    </w:p>
    <w:p w14:paraId="3D494948" w14:textId="1385FAA5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bookmarkStart w:id="1" w:name="_Hlk180501918"/>
      <w:r w:rsidRPr="00A55B9F">
        <w:rPr>
          <w:rFonts w:ascii="Garamond" w:eastAsia="Garamond" w:hAnsi="Garamond" w:cs="Garamond"/>
          <w:bCs/>
          <w:sz w:val="24"/>
          <w:szCs w:val="24"/>
        </w:rPr>
        <w:t>È l’arte, invece, a farla da padrona in questa mostra, e in particolare lo è uno dei suoi elementi decorativi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più consueti, l’oro. Simbolo stesso dell’incorruttibile eterno e allo stesso tempo causa primigenia della più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abietta corruzione umana, questo metallo scaturito dalla terra che, pur senza esserlo in origine, diviene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pigmento, è utilizzato dagli artisti fin dalle origini della civiltà e trasmigra da un’epoca all’altra senza mai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perdere il suo significato. L’oro ci consente quindi di guardare alle opere del passato con gli stessi occhi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con i quali guardiamo il nostro contemporaneo, astraendolo dalla dimensione temporale per immedesimarci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nel valore simbolico e senza tempo di ogni singolo oggetto, arrivando a scoprire qualcosa di nuovo.</w:t>
      </w:r>
      <w:bookmarkEnd w:id="1"/>
    </w:p>
    <w:p w14:paraId="2B9478AD" w14:textId="6411831E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A55B9F">
        <w:rPr>
          <w:rFonts w:ascii="Garamond" w:eastAsia="Garamond" w:hAnsi="Garamond" w:cs="Garamond"/>
          <w:bCs/>
          <w:sz w:val="24"/>
          <w:szCs w:val="24"/>
        </w:rPr>
        <w:t>I ‘dialoghi’ tra le opere a fondo oro della nostra collezione e i lavori di grandi protagonisti del Novecento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che hanno utilizzato cinque, sei o sette secoli fa il medesimo materiale non sono che un richiamo, l’invito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a vivere un’esperienza visiva reale che confina, a volte coincide, con la metafisica e unisce nella percezione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di chi guarda, e in quel momento diviene anch’egli un interlocutore, il passato all’oggi, o meglio all’ora.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Il rischio, del quale siamo consapevoli attivatori, sta proprio in questo esperimento, che tuttavia ci occorre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realizzare per capire fino a che punto sia vero che ogni opera d’arte antica, moderna o contemporanea,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ogni museo, soprattutto quelli fortemente storicizzati come il nostro, possano essere veramente compresi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A55B9F">
        <w:rPr>
          <w:rFonts w:ascii="Garamond" w:eastAsia="Garamond" w:hAnsi="Garamond" w:cs="Garamond"/>
          <w:bCs/>
          <w:sz w:val="24"/>
          <w:szCs w:val="24"/>
        </w:rPr>
        <w:t>anche “senza concetto” direbbe Kant. E senza tempo, diremmo noi.</w:t>
      </w:r>
    </w:p>
    <w:p w14:paraId="4144A897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24E8802F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Perugia, 24 ottobre 2024</w:t>
      </w:r>
    </w:p>
    <w:sectPr w:rsidR="00A55B9F" w:rsidRPr="00A55B9F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907C641-A9F1-4CAB-99C8-3FAE440B1CF7}"/>
    <w:embedBold r:id="rId2" w:fontKey="{7E64B325-5E84-4806-82F5-0139231C0C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0F4F153B-D4CB-46E3-BEC2-A573F0DEA8C8}"/>
    <w:embedItalic r:id="rId4" w:fontKey="{790727CD-F2D7-4E15-A256-8FEEA2E6A563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0BB2B402-11EF-4F5B-9390-47B81641C938}"/>
    <w:embedBold r:id="rId6" w:fontKey="{D6DAF1D0-EF51-4385-91FE-0D07FE557B44}"/>
    <w:embedItalic r:id="rId7" w:fontKey="{8A9D98D7-E665-4FA8-A8A4-A6AE9FE5D5FB}"/>
    <w:embedBoldItalic r:id="rId8" w:fontKey="{97C6D787-92AC-4BBC-B029-A482E594B69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AE8CF1E6-A99D-4C14-A5F6-CC2CE113FE2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9497D"/>
    <w:rsid w:val="001A682E"/>
    <w:rsid w:val="00242342"/>
    <w:rsid w:val="00247A35"/>
    <w:rsid w:val="00282660"/>
    <w:rsid w:val="00290C8A"/>
    <w:rsid w:val="002E08C2"/>
    <w:rsid w:val="00306AE7"/>
    <w:rsid w:val="003358FE"/>
    <w:rsid w:val="00393D68"/>
    <w:rsid w:val="003F6C13"/>
    <w:rsid w:val="004042AE"/>
    <w:rsid w:val="004C1D37"/>
    <w:rsid w:val="004F1BBE"/>
    <w:rsid w:val="005148E6"/>
    <w:rsid w:val="0058214D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D011C"/>
    <w:rsid w:val="009E0E45"/>
    <w:rsid w:val="00A35103"/>
    <w:rsid w:val="00A55B9F"/>
    <w:rsid w:val="00AC6629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45361"/>
    <w:rsid w:val="00E52A03"/>
    <w:rsid w:val="00EA0BF0"/>
    <w:rsid w:val="00F161F6"/>
    <w:rsid w:val="00F6333B"/>
    <w:rsid w:val="00F6593E"/>
    <w:rsid w:val="00F70142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407</Words>
  <Characters>2324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2024-10-22T07:44:00Z</cp:lastPrinted>
  <dcterms:created xsi:type="dcterms:W3CDTF">2024-10-22T12:56:00Z</dcterms:created>
  <dcterms:modified xsi:type="dcterms:W3CDTF">2024-10-22T13:06:00Z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